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word/fontTable.xml" ContentType="application/vnd.openxmlformats-officedocument.wordprocessingml.fontTable+xml"/>
  <Override PartName="/word/header.xml" ContentType="application/vnd.openxmlformats-officedocument.wordprocessingml.header+xml"/>
  <Override PartName="/word/footer.xml" ContentType="application/vnd.openxmlformats-officedocument.wordprocessingml.footer+xml"/>
  <Override PartName="/word/headerFirstPage.xml" ContentType="application/vnd.openxmlformats-officedocument.wordprocessingml.header+xml"/>
  <Override PartName="/word/footerFirstPage.xml" ContentType="application/vnd.openxmlformats-officedocument.wordprocessingml.footer+xml"/>
  <Override PartName="/word/headerEvenPages.xml" ContentType="application/vnd.openxmlformats-officedocument.wordprocessingml.header+xml"/>
  <Override PartName="/word/footerEvenPages.xml" ContentType="application/vnd.openxmlformats-officedocument.wordprocessingml.footer+xml"/>
  <Override PartName="/word/settings.xml" ContentType="application/vnd.openxmlformats-officedocument.wordprocessingml.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14="http://schemas.microsoft.com/office/word/2010/wordprocessingDrawing" xmlns:w14="http://schemas.microsoft.com/office/word/2010/wordml" xmlns:wne="http://schemas.microsoft.com/office/word/2006/wordml" xmlns:wps="http://schemas.microsoft.com/office/word/2010/wordprocessingShape" xmlns:mc="http://schemas.openxmlformats.org/markup-compatibility/2006" mc:Ignorable="wp14">
  <w:background w:color="FFFFFF"/>
  <w:body>
    <w:p>
      <w:pPr>
        <w:jc w:val="both"/>
        <w:widowControl/>
        <w:spacing w:lineRule="auto" w:line="360"/>
        <w:tabs>
          <w:tab w:val="left" w:pos="4253"/>
        </w:tabs>
        <w:rPr>
          <w:rFonts w:ascii="Times New Roman" w:hAnsi="Times New Roman" w:cs="Times New Roman" w:eastAsia="Times New Roman"/>
          <w:sz w:val="24"/>
        </w:rPr>
      </w:pP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 xml:space="preserve">                  </w:t>
      </w:r>
    </w:p>
    <w:p>
      <w:pPr>
        <w:jc w:val="center"/>
        <w:widowControl/>
        <w:spacing w:lineRule="auto" w:line="360"/>
        <w:rPr>
          <w:rFonts w:ascii="Times New Roman" w:hAnsi="Times New Roman" w:cs="Times New Roman" w:eastAsia="Times New Roman"/>
          <w:b/>
          <w:sz w:val="24"/>
        </w:rPr>
      </w:pPr>
      <w:r>
        <w:rPr>
          <w:rFonts w:ascii="Times New Roman" w:hAnsi="Times New Roman" w:cs="Times New Roman" w:eastAsia="Times New Roman"/>
          <w:b/>
          <w:sz w:val="24"/>
        </w:rPr>
        <w:t>EDITAL DE PREGÃO ELETRÔNICO Nº 51/2026</w:t>
      </w:r>
    </w:p>
    <w:p>
      <w:pPr>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center"/>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Município de Quatro Irmãos</w:t>
      </w:r>
    </w:p>
    <w:p>
      <w:pPr>
        <w:jc w:val="center"/>
        <w:widowControl/>
        <w:spacing w:lineRule="auto" w:line="360"/>
        <w:rPr>
          <w:rFonts w:ascii="Times New Roman" w:hAnsi="Times New Roman" w:cs="Times New Roman" w:eastAsia="Times New Roman"/>
          <w:b/>
          <w:sz w:val="24"/>
        </w:rPr>
      </w:pPr>
      <w:r>
        <w:rPr>
          <w:rFonts w:ascii="Times New Roman" w:hAnsi="Times New Roman" w:cs="Times New Roman" w:eastAsia="Times New Roman"/>
          <w:sz w:val="24"/>
        </w:rPr>
        <w:t xml:space="preserve">Edital de Pregão Eletrônico nº </w:t>
      </w:r>
      <w:r>
        <w:rPr>
          <w:rFonts w:ascii="Times New Roman" w:hAnsi="Times New Roman" w:cs="Times New Roman" w:eastAsia="Times New Roman"/>
          <w:b/>
          <w:sz w:val="24"/>
        </w:rPr>
        <w:t>51/2026</w:t>
      </w:r>
    </w:p>
    <w:p>
      <w:pPr>
        <w:jc w:val="center"/>
        <w:widowControl/>
        <w:spacing w:lineRule="auto" w:line="360"/>
        <w:rPr>
          <w:rFonts w:ascii="Times New Roman" w:hAnsi="Times New Roman" w:cs="Times New Roman" w:eastAsia="Times New Roman"/>
          <w:b/>
          <w:sz w:val="24"/>
        </w:rPr>
      </w:pPr>
      <w:r>
        <w:rPr>
          <w:rFonts w:ascii="Times New Roman" w:hAnsi="Times New Roman" w:cs="Times New Roman" w:eastAsia="Times New Roman"/>
          <w:sz w:val="24"/>
        </w:rPr>
        <w:t xml:space="preserve">Tipo de julgamento: </w:t>
      </w:r>
      <w:r>
        <w:rPr>
          <w:rFonts w:ascii="Times New Roman" w:hAnsi="Times New Roman" w:cs="Times New Roman" w:eastAsia="Times New Roman"/>
          <w:b/>
          <w:sz w:val="24"/>
        </w:rPr>
        <w:t>Menor Preco Unitario</w:t>
      </w:r>
    </w:p>
    <w:p>
      <w:pPr>
        <w:jc w:val="center"/>
        <w:widowControl/>
        <w:spacing w:lineRule="auto" w:line="360"/>
        <w:rPr>
          <w:rFonts w:ascii="Times New Roman" w:hAnsi="Times New Roman" w:cs="Times New Roman" w:eastAsia="Times New Roman"/>
        </w:rPr>
      </w:pPr>
      <w:r>
        <w:rPr>
          <w:rFonts w:ascii="Times New Roman" w:hAnsi="Times New Roman" w:cs="Times New Roman" w:eastAsia="Times New Roman"/>
        </w:rPr>
        <w:t/>
      </w:r>
    </w:p>
    <w:p>
      <w:pPr>
        <w:jc w:val="center"/>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Modo de disputa: aberto</w:t>
      </w:r>
    </w:p>
    <w:p>
      <w:pPr>
        <w:jc w:val="both"/>
        <w:widowControl/>
        <w:spacing w:lineRule="auto" w:line="360"/>
        <w:rPr>
          <w:rFonts w:ascii="Times New Roman" w:hAnsi="Times New Roman" w:cs="Times New Roman" w:eastAsia="Times New Roman"/>
          <w:b/>
          <w:sz w:val="24"/>
        </w:rPr>
      </w:pPr>
      <w:r>
        <w:rPr>
          <w:rFonts w:ascii="Times New Roman" w:hAnsi="Times New Roman" w:cs="Times New Roman" w:eastAsia="Times New Roman"/>
          <w:b/>
          <w:sz w:val="24"/>
        </w:rPr>
        <w:t/>
      </w:r>
    </w:p>
    <w:p>
      <w:pPr>
        <w:jc w:val="center"/>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Processo nº 000431/26</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ind w:left="2268" w:right="57" w:firstLine="5"/>
        <w:spacing w:lineRule="auto" w:line="360"/>
        <w:rPr>
          <w:rFonts w:ascii="Times New Roman" w:hAnsi="Times New Roman" w:cs="Times New Roman" w:eastAsia="Times New Roman"/>
          <w:sz w:val="24"/>
          <w:shd w:val="clear" w:color="auto" w:fill="FFFF00"/>
        </w:rPr>
      </w:pPr>
      <w:r>
        <w:rPr>
          <w:rFonts w:ascii="Times New Roman" w:hAnsi="Times New Roman" w:cs="Times New Roman" w:eastAsia="Times New Roman"/>
          <w:sz w:val="24"/>
        </w:rPr>
        <w:t xml:space="preserve">Edital de pregão eletrônico para a contratação de empresa para prestação de serviços de </w:t>
      </w:r>
      <w:r>
        <w:rPr>
          <w:rFonts w:ascii="Times New Roman" w:hAnsi="Times New Roman" w:cs="Times New Roman" w:eastAsia="Times New Roman"/>
          <w:sz w:val="24"/>
          <w:shd w:val="clear" w:color="auto" w:fill="FFFF00"/>
        </w:rPr>
        <w:t>Contratação de empresa especializada para fornecimento de licença de uso de software para gerenciamento do IPM na arrecadação do ICMS, juntamente com suporte técnico, manutenção, implantação, parametrização e treinamento de pessoal. Assessoria presencial mensal..</w:t>
      </w:r>
    </w:p>
    <w:p>
      <w:pPr>
        <w:jc w:val="both"/>
        <w:widowControl/>
        <w:ind w:right="57"/>
        <w:spacing w:lineRule="auto" w:line="360"/>
        <w:tabs>
          <w:tab w:val="left" w:pos="2835"/>
        </w:tabs>
        <w:rPr>
          <w:rFonts w:ascii="Times New Roman" w:hAnsi="Times New Roman" w:cs="Times New Roman" w:eastAsia="Times New Roman"/>
          <w:i/>
          <w:sz w:val="24"/>
        </w:rPr>
      </w:pPr>
      <w:r>
        <w:rPr>
          <w:rFonts w:ascii="Times New Roman" w:hAnsi="Times New Roman" w:cs="Times New Roman" w:eastAsia="Times New Roman"/>
          <w:i/>
          <w:sz w:val="24"/>
        </w:rPr>
        <w:t/>
      </w:r>
    </w:p>
    <w:p>
      <w:pPr>
        <w:jc w:val="both"/>
        <w:widowControl/>
        <w:ind w:left="57" w:right="57" w:firstLine="397"/>
        <w:spacing w:lineRule="auto" w:line="360"/>
        <w:tabs>
          <w:tab w:val="left" w:pos="2835"/>
        </w:tabs>
        <w:rPr>
          <w:rFonts w:ascii="Times New Roman" w:hAnsi="Times New Roman" w:cs="Times New Roman" w:eastAsia="Times New Roman"/>
          <w:sz w:val="24"/>
          <w:spacing w:val="14"/>
        </w:rPr>
      </w:pPr>
      <w:r>
        <w:rPr>
          <w:rFonts w:ascii="Times New Roman" w:hAnsi="Times New Roman" w:cs="Times New Roman" w:eastAsia="Times New Roman"/>
          <w:sz w:val="24"/>
          <w:spacing w:val="14"/>
        </w:rPr>
        <w:t/>
      </w:r>
    </w:p>
    <w:p>
      <w:pPr>
        <w:jc w:val="both"/>
        <w:widowControl/>
        <w:spacing w:lineRule="auto" w:line="360"/>
        <w:rPr>
          <w:rFonts w:ascii="Times New Roman" w:hAnsi="Times New Roman" w:cs="Times New Roman" w:eastAsia="Times New Roman"/>
          <w:b/>
          <w:sz w:val="24"/>
        </w:rPr>
      </w:pPr>
      <w:r>
        <w:rPr>
          <w:rFonts w:ascii="Times New Roman" w:hAnsi="Times New Roman" w:cs="Times New Roman" w:eastAsia="Times New Roman"/>
          <w:b/>
          <w:sz w:val="24"/>
        </w:rPr>
        <w:tab/>
      </w:r>
      <w:r>
        <w:rPr>
          <w:rFonts w:ascii="Times New Roman" w:hAnsi="Times New Roman" w:cs="Times New Roman" w:eastAsia="Times New Roman"/>
          <w:b/>
          <w:sz w:val="24"/>
        </w:rPr>
        <w:t>O PREFEITO MUNICIPAL DE QUATRO IRMÃOS</w:t>
      </w:r>
      <w:r>
        <w:rPr>
          <w:rFonts w:ascii="Times New Roman" w:hAnsi="Times New Roman" w:cs="Times New Roman" w:eastAsia="Times New Roman"/>
          <w:sz w:val="24"/>
        </w:rPr>
        <w:t xml:space="preserve">, no uso de suas atribuições, torna público, para conhecimento dos interessados, a realização de licitação na modalidade pregão, na forma eletrônica, do tipo menor preço por item, objetivando a contratação de empresa para a prestação de serviços de </w:t>
      </w:r>
      <w:r>
        <w:rPr>
          <w:rFonts w:ascii="Times New Roman" w:hAnsi="Times New Roman" w:cs="Times New Roman" w:eastAsia="Times New Roman"/>
          <w:b/>
          <w:sz w:val="24"/>
          <w:shd w:val="clear" w:color="auto" w:fill="FFFF00"/>
        </w:rPr>
        <w:t>Contratação de empresa especializada para fornecimento de licença de uso de software para gerenciamento do IPM na arrecadação do ICMS, juntamente com suporte técnico, manutenção, implantação, parametrização e treinamento de pessoal. Assessoria presencial mensal.</w:t>
      </w:r>
      <w:r>
        <w:rPr>
          <w:rFonts w:ascii="Times New Roman" w:hAnsi="Times New Roman" w:cs="Times New Roman" w:eastAsia="Times New Roman"/>
          <w:sz w:val="24"/>
        </w:rPr>
        <w:t xml:space="preserve">, </w:t>
      </w:r>
      <w:bookmarkStart w:id="0" w:name="_Hlk108091163"/>
      <w:bookmarkEnd w:id="0"/>
      <w:r>
        <w:rPr>
          <w:rFonts w:ascii="Times New Roman" w:hAnsi="Times New Roman" w:cs="Times New Roman" w:eastAsia="Times New Roman"/>
          <w:sz w:val="24"/>
        </w:rPr>
        <w:t>conforme descrito nesse edital e seus anexos, e nos termos da Lei Federal nº 14.133 de 1º de abril de 2021</w:t>
      </w:r>
      <w:r>
        <w:rPr>
          <w:rFonts w:ascii="Times New Roman" w:hAnsi="Times New Roman" w:cs="Times New Roman" w:eastAsia="Times New Roman"/>
          <w:b/>
          <w:sz w:val="24"/>
        </w:rPr>
        <w:t>.</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ab/>
      </w:r>
      <w:r>
        <w:rPr>
          <w:rFonts w:ascii="Times New Roman" w:hAnsi="Times New Roman" w:cs="Times New Roman" w:eastAsia="Times New Roman"/>
          <w:sz w:val="24"/>
        </w:rPr>
        <w:t xml:space="preserve">A sessão virtual do pregão eletrônico será realizada no seguinte endereço: </w:t>
      </w:r>
      <w:hyperlink r:id="hrId1">
        <w:r>
          <w:rPr>
            <w:rFonts w:ascii="Times New Roman" w:hAnsi="Times New Roman" w:cs="Times New Roman" w:eastAsia="Times New Roman"/>
            <w:u w:val="single"/>
            <w:sz w:val="24"/>
            <w:color w:val="0000FF"/>
          </w:rPr>
          <w:t>https://quatroirmaos.msgestaopublica.app.br/comprasedital</w:t>
        </w:r>
      </w:hyperlink>
      <w:r>
        <w:rPr>
          <w:rFonts w:ascii="Times New Roman" w:hAnsi="Times New Roman" w:cs="Times New Roman" w:eastAsia="Times New Roman"/>
          <w:sz w:val="24"/>
        </w:rPr>
        <w:t xml:space="preserve">,  no dia </w:t>
      </w:r>
      <w:r>
        <w:rPr>
          <w:rFonts w:ascii="Times New Roman" w:hAnsi="Times New Roman" w:cs="Times New Roman" w:eastAsia="Times New Roman"/>
          <w:sz w:val="24"/>
          <w:shd w:val="clear" w:color="auto" w:fill="FFFF00"/>
        </w:rPr>
        <w:t>06/10/2026</w:t>
      </w:r>
      <w:r>
        <w:rPr>
          <w:rFonts w:ascii="Times New Roman" w:hAnsi="Times New Roman" w:cs="Times New Roman" w:eastAsia="Times New Roman"/>
          <w:sz w:val="24"/>
        </w:rPr>
        <w:t xml:space="preserve">, às </w:t>
      </w:r>
      <w:r>
        <w:rPr>
          <w:rFonts w:ascii="Times New Roman" w:hAnsi="Times New Roman" w:cs="Times New Roman" w:eastAsia="Times New Roman"/>
          <w:sz w:val="24"/>
          <w:shd w:val="clear" w:color="auto" w:fill="FFFF00"/>
        </w:rPr>
        <w:t>08:15</w:t>
      </w:r>
      <w:r>
        <w:rPr>
          <w:rFonts w:ascii="Times New Roman" w:hAnsi="Times New Roman" w:cs="Times New Roman" w:eastAsia="Times New Roman"/>
          <w:sz w:val="24"/>
        </w:rPr>
        <w:t xml:space="preserve"> podendo as propostas e os documentos serem enviados até às </w:t>
      </w:r>
      <w:r>
        <w:rPr>
          <w:rFonts w:ascii="Times New Roman" w:hAnsi="Times New Roman" w:cs="Times New Roman" w:eastAsia="Times New Roman"/>
          <w:sz w:val="24"/>
          <w:shd w:val="clear" w:color="auto" w:fill="FFFF00"/>
        </w:rPr>
        <w:t>08:00</w:t>
      </w:r>
      <w:r>
        <w:rPr>
          <w:rFonts w:ascii="Times New Roman" w:hAnsi="Times New Roman" w:cs="Times New Roman" w:eastAsia="Times New Roman"/>
          <w:sz w:val="24"/>
        </w:rPr>
        <w:t>, sendo que todas as referências de tempo observam o horário de Brasília.</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ab/>
      </w:r>
      <w:bookmarkStart w:id="1" w:name="_Hlk108091216"/>
      <w:bookmarkEnd w:id="1"/>
      <w:r>
        <w:rPr>
          <w:rFonts w:ascii="Times New Roman" w:hAnsi="Times New Roman" w:cs="Times New Roman" w:eastAsia="Times New Roman"/>
          <w:b/>
          <w:sz w:val="24"/>
        </w:rPr>
        <w:t>1. DO OBJETO:</w:t>
      </w:r>
      <w:r>
        <w:rPr>
          <w:rFonts w:ascii="Times New Roman" w:hAnsi="Times New Roman" w:cs="Times New Roman" w:eastAsia="Times New Roman"/>
          <w:sz w:val="24"/>
        </w:rPr>
        <w:t xml:space="preserve">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xml:space="preserve">Constitui objeto da presente licitação a prestação dos serviços de </w:t>
      </w:r>
      <w:r>
        <w:rPr>
          <w:rFonts w:ascii="Times New Roman" w:hAnsi="Times New Roman" w:cs="Times New Roman" w:eastAsia="Times New Roman"/>
          <w:b/>
          <w:sz w:val="24"/>
          <w:shd w:val="clear" w:color="auto" w:fill="FFFF00"/>
        </w:rPr>
        <w:t>Contratação de empresa especializada para fornecimento de licença de uso de software para gerenciamento do IPM na arrecadação do ICMS, juntamente com suporte técnico, manutenção, implantação, parametrização e treinamento de pessoal. Assessoria presencial mensal.</w:t>
      </w:r>
      <w:r>
        <w:rPr>
          <w:rFonts w:ascii="Times New Roman" w:hAnsi="Times New Roman" w:cs="Times New Roman" w:eastAsia="Times New Roman"/>
          <w:sz w:val="24"/>
        </w:rPr>
        <w:t>, a serem executados conforme especificações técnicas detalhadas no Termo de Referência (Anexo I).</w:t>
      </w:r>
    </w:p>
    <w:tbl>
      <w:tblPr>
        <w:tblW w:w="5000" w:type="pct"/>
        <w:tblLayout w:type="fixed"/>
        <w:tblCellMar>
          <w:top w:w="0" w:type="dxa"/>
          <w:left w:w="1" w:type="dxa"/>
          <w:bottom w:w="0" w:type="dxa"/>
          <w:right w:w="1" w:type="dxa"/>
        </w:tblCellMar>
        <w:shd w:val="clear" w:color="auto" w:fill="FFFFFF"/>
      </w:tblPr>
      <w:tblGrid>
        <w:gridCol w:w="633"/>
        <w:gridCol w:w="3978"/>
        <w:gridCol w:w="828"/>
        <w:gridCol w:w="828"/>
        <w:gridCol w:w="843"/>
        <w:gridCol w:w="843"/>
        <w:gridCol w:w="843"/>
      </w:tblGrid>
      <w:tr>
        <w:tc>
          <w:tcPr>
            <w:tcW w:w="660"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Item</w:t>
            </w:r>
          </w:p>
        </w:tc>
        <w:tc>
          <w:tcPr>
            <w:tcW w:w="4005"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Descrição do Produto</w:t>
            </w:r>
          </w:p>
        </w:tc>
        <w:tc>
          <w:tcPr>
            <w:tcW w:w="855"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Qte</w:t>
            </w:r>
          </w:p>
        </w:tc>
        <w:tc>
          <w:tcPr>
            <w:tcW w:w="855"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Unid.</w:t>
            </w:r>
          </w:p>
        </w:tc>
        <w:tc>
          <w:tcPr>
            <w:tcW w:w="870"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Marca</w:t>
            </w:r>
          </w:p>
        </w:tc>
        <w:tc>
          <w:tcPr>
            <w:tcW w:w="870"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Valor Unit.</w:t>
            </w:r>
          </w:p>
        </w:tc>
        <w:tc>
          <w:tcPr>
            <w:tcW w:w="870"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Valor Total</w:t>
            </w:r>
          </w:p>
        </w:tc>
      </w:tr>
      <w:tr>
        <w:tc>
          <w:tcPr>
            <w:tcW w:w="660"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1</w:t>
            </w:r>
          </w:p>
        </w:tc>
        <w:tc>
          <w:tcPr>
            <w:tcW w:w="4005"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PRESTAÇÃO DE SERVIÇOS DE ASSESSORIA TRIBUTARIA</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Prestação  de serviços , na área de consultoria e assessoria tributária, com fornecimento de licença de uso de software especifico para gerenciamento do IPM(índice de participação do município) na arrecadação do ICMS e do INSS, com suporte técnico pra levantamento dos dados censitários, índices e valores do ICMS ao município.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Licença de uso de sistema para a gestão do Índice de Participação do Município (IPM) e acompanhamento e arrecadação do ICMS, para a Administração Tributária Municipal, colaborando com a melhoria no VAF do Município, incluindo suporte técnico com equipe especializada, capacitação e orientação aos usuários, de forma presencial.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A implantação desta ferramenta deverá possibilitar à Administração Tributária do Município efetuar vários cruzamentos de informações e gerar relatórios de divergências dos dados apurados pela ferramenta.</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O sistema deve:</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Rodar em servidor(es) hospedado(s) em Internet Data Center (IDC), com administração feita pela CONTRATADA.</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As informações deverão ser armazenadas em Sistema Gerenciador de Banco de Dados – SGBD, do tipo relacional.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As interfaces para os usuários envolvidos, devem rodar nos principais navegadores de Internet do mercado, como Mozilla Firefox e Google Chrome.</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Deverá ser totalmente desenvolvido com linguagem de programação para plataforma WEB.</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Acesso ao módulo através de senha própria de cada usuário (multiusuário).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A ferramenta deverá ser compatível com os equipamentos e sistemas atuais do setor de Fiscalização/Administração Tributária da Prefeitura Municipal.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A ferramenta deverá possibilitar a realização de:</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exportação de relatórios para os formatos: PDF, HTML e CSV.</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gerenciamento do cadastro de fiscais da Prefeitura Municipal que utilizarão a ferramenta tecnológica com informações como: matrícula, nome do servidor/fiscal, cargo, e-mail, login e senha.</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dos contribuintes que contribuem com o ICMS do Município, gerados pelo sistema Apuração dos Índices dos Municípios (AIM), fornecido pela SEFAZ/RS, do tipo empresas da categoria geral.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listagem dos contribuintes do tipo empresas da categoria geral por mês/ano.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listagem do cadastro dos contribuintes com informações como: Razão Social e CGC.</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e listagem dos contabilistas, com os seguintes dados: CRC, nome do contabilista, telefone para eventual contato, e-mail e a Razão Social e CGC do seu cliente.</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e/ou cadastro dos índices que compõem o Índice de Participação do Município (IPM) liberados pela SEFAZ/RS, tanto de anos passados (retroativo de três anos) quanto do índice provisório (um ano a frente).</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cadastramento de máquinas veiculares liberadas pela Prefeitura Municipal para projetos públicos de ajuda a produtores.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gerenciamento da liberação das máquinas veiculares para atendimento a produtores rurais.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gerenciamento dos Códigos Fiscais de Operações e Prestações (CFOP) demonstrando quais são passíveis de Prestação de Serviço, IPI e Substituição Tributária, além das informações como: código CFOP, descrição, grupo, subgrupo e base legal.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por mês e do último mês de exercícios anteriores, das Guias Modelo B (GMB), fornecido pela SEFAZ/RS.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das informações do Programa Gerador do Documento de Arrecadação do Simples Nacional (PGDAS-D), fornecidas pela Receita Federal do Brasil (RFB).</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das informações da Declaração de Informações Socioeconômicas e Fiscais – DEFIS, fornecidas pela Receita Federal do Brasil (RFB).</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das informações das Notas Fiscais eletrônicas de Produtor Rural, fornecidas pela SEFAZ/RS.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dos cadastros de Produtor Rural, fornecido pela SEFAZ/RS.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das informações das Transferências Eletrônicas Financeiras (TEF), fornecidas pela SEFAZ/RS.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das informações das Notas Fiscais Eletrônicas (NFe) conjugadas, fornecidas pela SEFAZ/RS.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das informações das publicações provisórias dos produtores rurais, categoria geral, Simples Nacional e empresas de Indústria, Comércio e Serviço (ICS), fornecidas pela SEFAZ/RS.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cruze as informações de faturamento com folha de pagamento e número de funcionários, por contribuintes da categoria geral.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compare as informações de estoque próprio e de terceiros, com índices de inicial e final, e cálculo de saldo, além da opção de escolher o modo de classificação e exibição entre maior e menor, por contribuintes da categoria geral.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calcule o Valor Adicionado Fiscal (VAF), através das informações de entrada e saída, por contribuintes da categoria geral, dando a opção de escolher o modo de classificação e exibição entre maior e menor.</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 expectativa anual do VAF, por contribuintes da categoria geral, comparando com o VAF atual, além da opção de escolher o modo de classificação e exibição entre maior e menor.</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 variação do VAF expectativa anual, por contribuintes da categoria geral, em relação ao VAF anterior, além da opção de escolher o modo de classificação e exibição entre maior e menor e percentual da variação.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compras de produtor primário do Estado, detalhando por município de origem e valor.</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entradas e saídas por Código Fiscal de Operações e Prestações (CFOP), detalhando o valor contábil, base de cálculo, valores isentos/não tributados, outras e ajustes/excluídas.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os contribuintes da categoria geral com irregularidades por Código Fiscal de Operações e Prestações (CFOP) com base na substituição tributária, detalhando o valor contábil, base de cálculo, valores isentos/não tributados, outras e ajustes/excluídas.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os contribuintes da categoria geral com irregularidades por Código Fiscal de Operações e Prestações (CFOP) com base no IPI, detalhando o valor contábil, base de cálculo, valores isentos/não tributados, outras e ajustes/excluídas.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os contribuintes da categoria geral com irregularidades por Código Fiscal de Operações e Prestações (CFOP) com base na prestação de serviço, detalhando o valor contábil, base de cálculo, valores isentos/não tributados, outras e ajustes/excluídas.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envio de notificação aos contribuintes da categoria geral, e ao seu respectivo contabilista, com irregularidades por Código Fiscal de Operações e Prestações (CFOP) com base na substituição tributária, ou IPI, ou prestação de serviço.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registro de ações tomadas pelo fiscal aos contribuintes da categoria geral, com irregularidades por Código Fiscal de Operações e Prestações (CFOP) com base na substituição tributária, ou IPI, ou prestação de serviço.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visualizar o histórico comparativo dos contribuintes da categoria geral, com irregularidades por Código Fiscal de Operações e Prestações (CFOP) com base na substituição tributária, ou IPI, ou prestação de serviço.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os transportes, conforme Anexo II, por Razão Social, período base, o total de saídas, total de entradas e o total distribuído. Além de detalhar as saídas para cada município e o valor da saída.</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gráfico comparativo do VAF atual com VAF anteriores por contribuinte da categoria geral.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gráfico comparativo do VAF atual com VAF anteriores entre Estado e Município.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gráfico comparativo do IPM e o VAF do município.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por contribuinte da categoria geral, o comparativo entre o VAF real e o VAF provisório.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por produtor rural, o comparativo entre o VAF real e o VAF provisório.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por contribuinte prestador de serviço, o comparativo entre o VAF real e o VAF provisório.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por contribuinte optante do Simples Nacional, o comparativo entre o VAF real e o VAF provisório.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por contribuinte da categoria geral, as operações de importação e exportação.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 publicação do provisório dos produtores rurais, demonstrando o CGC, ano base, VAF anterior e atual, diferença entre ele através de percentual, origem e município.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 publicação do provisório do valor atribuído referente a serviços de transporte/distribuição de energia, demonstrando: Razão Social, CGC, ano base VAF anterior e atual, diferença entre ele através de percentual, origem e município.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 publicação do provisório do valor sintético de declarações da indústria/comércio/serviços, demonstrando: Razão Social, CGC, ano base, código de atividade econômica, categoria, receita bruta anterior e atual, VAF anterior e atual e diferença entre ele através de percentual.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Notas Fiscais Eletrônicas Avulsas (NFA-e) para Produtor Rural, demonstrando: quantidade de nota emitidas, valor bruto e valor total.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Notas Fiscais Eletrônicas Avulsas (NFA-e) para Produtor Rural, demonstrando: código da Nomenclatura Comum do Mercosul (NCM), descrição, quantidade e unidade, código CFOP, operação de entrada/saída, número da NFe, data, situação junto ao AIM, valor bruto e valor total.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todas as informações das Notas Fiscais Eletrônicas Avulsas (NFA-e) para Produtor Rural, demonstrando: NCM, Descrição, CFOP, Quantidade, Unidade, Valor Bruto, Operação NFE, Data de emissão, Inscrição Estadual do Emitente, UF do Emitente, Inscrição Estadual do Destinatário, UF do Destinatário, Modelo DF, Série NFE, Valor Total NFE, Situação junto ao AIM e Chave Acesso.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 VAF por ano base para Produtor Rural, demonstrando: Nome do Produtor Rural, CGC, Ano Base e valor do VAF.</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NFe de produtor rural por situação do AIM, CFOP e operação de entrada/saída, demonstrando: Comprador, Produtor, situação junto ao AIM, CFOP, operação de entrada/saída, quantidade de NF, competência e valor total das notas.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NFe de produtor rural por comprador, demonstrando: Comprador, situação junto ao AIM, NCM, quantidade, CFOP, operação de entrada/saída, número da NF, data de emissão e valor bruto e total das notas.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NFe de produtor rural por produtor, demonstrando: Produtor, situação junto ao AIM, NCM, quantidade, CFOP, operação de entrada/saída, número da NF, data de emissão e valor bruto e total das notas.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os produtores rurais de fora do município e número de notas emitidas.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os produtos da produção primária através do NCM e do percentual do produto junto ao município.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os produtos de produção primária com erro de NCM.</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os produtos com erro de NCM.</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NFe de produtor rural agrupados por CFOP.</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 comparativo entre as saídas de NFe de produtor rural e o VAF.</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simule a estimativa de retorno do índice de Participação dos Municípios (IPM), conforme os índices liberados pela SEFAZ/RS, para o ano base atual, bem como para o ano posterior.</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simule a estimativa de retorno de empresas da categoria geral, para o ano base atual, bem como para o ano posterior.</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simule a estimativa de retorno de empresas da categoria geral, para o ano base atual, bem como para o ano posterior.</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simule a estimativa de retorno de produtor rural, para o ano base atual, bem como para o ano posterior.</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Notas Fiscais Eletrônicas Conjugadas.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 movimentação das Administradoras de Cartões por contribuinte.</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 comparação entre a movimentação de transferências eletrônicas financeiras e o faturamento declarado pelos contribuintes da categoria geral, além de apontar possível inconsistência entre ambos.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 comparação entre a movimentação de transferências eletrônicas financeiras e o faturamento declarado pelos contribuintes optantes pelo Simples Nacional, além de apontar possível inconsistência entre ambos.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 faturamento das empresas optantes pelo Simples Nacional.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 faturamento por competências de todos os contribuintes optantes pelo Simples Nacional.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 faturamento por atividades do Simples Nacional no município.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 saldo operacional por ano base dos contribuintes optantes pelo Simples Nacional.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informações socioeconômicas oriundas da DEFIS para análise do saldo operacional das empresas.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 comparativo da receita pela PGDAS-D e o provisório fornecido pela SEFAZ/RS.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sistemática para geração de Comunicação de Verificação de Indícios (CVI), através da análise prévia das Guia de Informação e Apuração do ICMS (GIAS- GMB), com base no Convênio de mútua colaboração como Estado (Lei nº 12.868/07).</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sistemática para geração de Comunicação de Verificação de Indícios (CVI), através da análise prévia das PGDAS-D/DEFIS, detalhando: receitas de ICMS, receitas de ISSQN, despesas e saldo operacional, com base no Convênio de mútua colaboração com o Estado (Lei nº 12.868/07).</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sistemática para geração dos formulários para recursos utilizados na interposição das impugnações realizadas pelo fisco municipal junto as NFe de Produtor Rural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12</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UN</w:t>
            </w:r>
          </w:p>
        </w:tc>
        <w:tc>
          <w:tcPr>
            <w:tcW w:w="870"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3.100,00</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37.200,00</w:t>
            </w:r>
          </w:p>
        </w:tc>
      </w:tr>
    </w:tbl>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lineRule="auto" w:line="360"/>
        <w:rPr>
          <w:rFonts w:ascii="Times New Roman" w:hAnsi="Times New Roman" w:cs="Times New Roman" w:eastAsia="Times New Roman"/>
          <w:b/>
          <w:sz w:val="24"/>
        </w:rPr>
      </w:pPr>
      <w:r>
        <w:rPr>
          <w:rFonts w:ascii="Times New Roman" w:hAnsi="Times New Roman" w:cs="Times New Roman" w:eastAsia="Times New Roman"/>
          <w:b/>
          <w:sz w:val="24"/>
        </w:rPr>
        <w:t/>
      </w:r>
    </w:p>
    <w:p>
      <w:pPr>
        <w:jc w:val="both"/>
        <w:widowControl/>
        <w:spacing w:lineRule="auto" w:line="360"/>
        <w:rPr>
          <w:rFonts w:ascii="Times New Roman" w:hAnsi="Times New Roman" w:cs="Times New Roman" w:eastAsia="Times New Roman"/>
          <w:b/>
          <w:sz w:val="24"/>
        </w:rPr>
      </w:pPr>
      <w:r>
        <w:rPr>
          <w:rFonts w:ascii="Times New Roman" w:hAnsi="Times New Roman" w:cs="Times New Roman" w:eastAsia="Times New Roman"/>
          <w:b/>
          <w:sz w:val="24"/>
        </w:rPr>
        <w:t>2. CREDENCIAMENTO E PARTICIPAÇÃO DO CERTAME</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2.1. </w:t>
      </w:r>
      <w:r>
        <w:rPr>
          <w:rFonts w:ascii="Times New Roman" w:hAnsi="Times New Roman" w:cs="Times New Roman" w:eastAsia="Times New Roman"/>
          <w:sz w:val="24"/>
        </w:rPr>
        <w:t>Para participar do certame, o licitante deve providenciar o seu credenciamento, com atribuição de chave e senha, diretamente junto ao provedor do sistema, onde deverá informar-se a respeito do seu funcionamento, regulamento e instruções para a sua correta utilização.</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2.2. </w:t>
      </w:r>
      <w:r>
        <w:rPr>
          <w:rFonts w:ascii="Times New Roman" w:hAnsi="Times New Roman" w:cs="Times New Roman" w:eastAsia="Times New Roman"/>
          <w:sz w:val="24"/>
        </w:rPr>
        <w:t>As instruções para o credenciamento podem ser acessadas no seguinte sítio eletrônico (</w:t>
      </w:r>
      <w:hyperlink r:id="hrId2">
        <w:r>
          <w:rPr>
            <w:rFonts w:ascii="Times New Roman" w:hAnsi="Times New Roman" w:cs="Times New Roman" w:eastAsia="Times New Roman"/>
            <w:u w:val="single"/>
            <w:sz w:val="24"/>
            <w:color w:val="0000FF"/>
          </w:rPr>
          <w:t>https://quatroirmaos.msgestaopublica.app.br/comprasedital</w:t>
        </w:r>
      </w:hyperlink>
      <w:hyperlink r:id="hrId3">
        <w:r>
          <w:rPr>
            <w:rFonts w:ascii="Times New Roman" w:hAnsi="Times New Roman" w:cs="Times New Roman" w:eastAsia="Times New Roman"/>
            <w:b/>
            <w:u w:val="single"/>
            <w:sz w:val="24"/>
            <w:color w:val="0000FF"/>
          </w:rPr>
          <w:t>)</w:t>
        </w:r>
      </w:hyperlink>
      <w:r>
        <w:rPr>
          <w:rFonts w:ascii="Times New Roman" w:hAnsi="Times New Roman" w:cs="Times New Roman" w:eastAsia="Times New Roman"/>
          <w:sz w:val="24"/>
        </w:rPr>
        <w:t xml:space="preserve"> ou solicitadas por meio do seguinte endereço de email: </w:t>
      </w:r>
      <w:hyperlink r:id="hrId4">
        <w:r>
          <w:rPr>
            <w:rFonts w:ascii="Times New Roman" w:hAnsi="Times New Roman" w:cs="Times New Roman" w:eastAsia="Times New Roman"/>
            <w:u w:val="single"/>
            <w:sz w:val="24"/>
            <w:color w:val="0000FF"/>
          </w:rPr>
          <w:t>compras@quatroirmaos.rs.gov.br</w:t>
        </w:r>
      </w:hyperlink>
      <w:r>
        <w:rPr>
          <w:rFonts w:ascii="Times New Roman" w:hAnsi="Times New Roman" w:cs="Times New Roman" w:eastAsia="Times New Roman"/>
          <w:sz w:val="24"/>
        </w:rPr>
        <w:t xml:space="preserve"> ou </w:t>
      </w:r>
      <w:hyperlink r:id="hrId5">
        <w:r>
          <w:rPr>
            <w:rFonts w:ascii="Times New Roman" w:hAnsi="Times New Roman" w:cs="Times New Roman" w:eastAsia="Times New Roman"/>
            <w:u w:val="single"/>
            <w:sz w:val="24"/>
            <w:color w:val="0000FF"/>
          </w:rPr>
          <w:t>contabilidade@quatroirmaos.rs.gov.br.</w:t>
        </w:r>
      </w:hyperlink>
      <w:r>
        <w:rPr>
          <w:rFonts w:ascii="Times New Roman" w:hAnsi="Times New Roman" w:cs="Times New Roman" w:eastAsia="Times New Roman"/>
          <w:sz w:val="24"/>
        </w:rPr>
        <w:t xml:space="preserve">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2.3. </w:t>
      </w:r>
      <w:r>
        <w:rPr>
          <w:rFonts w:ascii="Times New Roman" w:hAnsi="Times New Roman" w:cs="Times New Roman" w:eastAsia="Times New Roman"/>
          <w:sz w:val="24"/>
        </w:rPr>
        <w:t>É de responsabilidade do licitante, além de credenciar-se previamente no sistema eletrônico utilizado no certame e de cumprir as regras do presente edital:</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2.3.1.</w:t>
      </w:r>
      <w:r>
        <w:rPr>
          <w:rFonts w:ascii="Times New Roman" w:hAnsi="Times New Roman" w:cs="Times New Roman" w:eastAsia="Times New Roman"/>
          <w:sz w:val="24"/>
        </w:rPr>
        <w:t xml:space="preserve"> 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2.3.2.</w:t>
      </w:r>
      <w:r>
        <w:rPr>
          <w:rFonts w:ascii="Times New Roman" w:hAnsi="Times New Roman" w:cs="Times New Roman" w:eastAsia="Times New Roman"/>
          <w:sz w:val="24"/>
        </w:rPr>
        <w:t xml:space="preserve"> Acompanhar as operações no sistema eletrônico durante o processo licitatório e responsabilizar-se pelo ônus decorrente da perda de negócios diante da inobservância de mensagens emitidas pelo sistema ou de sua desconexão.</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2.3.3.</w:t>
      </w:r>
      <w:r>
        <w:rPr>
          <w:rFonts w:ascii="Times New Roman" w:hAnsi="Times New Roman" w:cs="Times New Roman" w:eastAsia="Times New Roman"/>
          <w:sz w:val="24"/>
        </w:rPr>
        <w:t xml:space="preserve"> Comunicar imediatamente ao provedor do sistema qualquer acontecimento que possa comprometer o sigilo ou a inviabilidade do uso da senha, para imediato bloqueio de acesso.</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2.3.4.</w:t>
      </w:r>
      <w:r>
        <w:rPr>
          <w:rFonts w:ascii="Times New Roman" w:hAnsi="Times New Roman" w:cs="Times New Roman" w:eastAsia="Times New Roman"/>
          <w:sz w:val="24"/>
        </w:rPr>
        <w:t xml:space="preserve"> Utilizar a chave de identificação e a senha de acesso para participar do pregão na forma eletrônica.</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2.3.5.</w:t>
      </w:r>
      <w:r>
        <w:rPr>
          <w:rFonts w:ascii="Times New Roman" w:hAnsi="Times New Roman" w:cs="Times New Roman" w:eastAsia="Times New Roman"/>
          <w:sz w:val="24"/>
        </w:rPr>
        <w:t xml:space="preserve"> Solicitar o cancelamento da chave de identificação ou da senha de acesso por interesse próprio.</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lineRule="auto" w:line="360"/>
        <w:rPr>
          <w:rFonts w:ascii="Times New Roman" w:hAnsi="Times New Roman" w:cs="Times New Roman" w:eastAsia="Times New Roman"/>
          <w:b/>
          <w:sz w:val="24"/>
        </w:rPr>
      </w:pPr>
      <w:r>
        <w:rPr>
          <w:rFonts w:ascii="Times New Roman" w:hAnsi="Times New Roman" w:cs="Times New Roman" w:eastAsia="Times New Roman"/>
          <w:b/>
          <w:sz w:val="24"/>
        </w:rPr>
        <w:t>3. ENVIO DAS PROPOSTAS</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3.1. </w:t>
      </w:r>
      <w:r>
        <w:rPr>
          <w:rFonts w:ascii="Times New Roman" w:hAnsi="Times New Roman" w:cs="Times New Roman" w:eastAsia="Times New Roman"/>
          <w:sz w:val="24"/>
        </w:rPr>
        <w:t>As propostas e os documentos de habilitação deverão ser enviados exclusivamente por meio do sistema eletrônico, até a data e horário estabelecidos no preâmbulo deste edital, observando os itens 4 e 5 deste Edital, e poderão ser retirados ou substituídos até a abertura da sessão pública.</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3.2. </w:t>
      </w:r>
      <w:r>
        <w:rPr>
          <w:rFonts w:ascii="Times New Roman" w:hAnsi="Times New Roman" w:cs="Times New Roman" w:eastAsia="Times New Roman"/>
          <w:sz w:val="24"/>
        </w:rPr>
        <w:t>O licitante deverá declarar, em campo próprio do sistema, sendo que a falsidade da declaração sujeitará o licitante às sanções legais:</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3.2.1.</w:t>
      </w:r>
      <w:r>
        <w:rPr>
          <w:rFonts w:ascii="Times New Roman" w:hAnsi="Times New Roman" w:cs="Times New Roman" w:eastAsia="Times New Roman"/>
          <w:sz w:val="24"/>
        </w:rPr>
        <w:t xml:space="preserve"> O cumprimento dos requisitos para a habilitação e a conformidade de sua proposta com as exigências do edital, respondendo o declarante pela veracidade das suas informações, na forma da lei.</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3.2.2.</w:t>
      </w:r>
      <w:r>
        <w:rPr>
          <w:rFonts w:ascii="Times New Roman" w:hAnsi="Times New Roman" w:cs="Times New Roman" w:eastAsia="Times New Roman"/>
          <w:sz w:val="24"/>
          <w:color w:val="000000"/>
        </w:rPr>
        <w:t xml:space="preserve"> Que cumpre as exigências de reserva de cargos para pessoa com deficiência e para reabilitado da Previdência Social, previstas em lei e em outras normas específicas.</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3.2.3.</w:t>
      </w:r>
      <w:r>
        <w:rPr>
          <w:rFonts w:ascii="Times New Roman" w:hAnsi="Times New Roman" w:cs="Times New Roman" w:eastAsia="Times New Roman"/>
          <w:sz w:val="24"/>
          <w:color w:val="000000"/>
        </w:rPr>
        <w:t xml:space="preserve"> O cumprimento dos requisitos legais para a qualificação como microempresa ou empresa de pequeno porte, microempreendedor individual, produtor rural pessoa física, agricultor familiar ou sociedade cooperativa de consumo, </w:t>
      </w:r>
      <w:r>
        <w:rPr>
          <w:rFonts w:ascii="Times New Roman" w:hAnsi="Times New Roman" w:cs="Times New Roman" w:eastAsia="Times New Roman"/>
          <w:b/>
          <w:sz w:val="24"/>
          <w:color w:val="000000"/>
        </w:rPr>
        <w:t>se for o caso</w:t>
      </w:r>
      <w:r>
        <w:rPr>
          <w:rFonts w:ascii="Times New Roman" w:hAnsi="Times New Roman" w:cs="Times New Roman" w:eastAsia="Times New Roman"/>
          <w:sz w:val="24"/>
          <w:color w:val="000000"/>
        </w:rPr>
        <w:t xml:space="preserve">, estando apto a usufruir do tratamento favorecido estabelecido nos arts. 42 ao 49 da Lei Complementar nº 123 de 14 de dezembro de 2006, como condição para aplicação do disposto nos itens </w:t>
      </w:r>
      <w:r>
        <w:rPr>
          <w:rFonts w:ascii="Times New Roman" w:hAnsi="Times New Roman" w:cs="Times New Roman" w:eastAsia="Times New Roman"/>
          <w:b/>
          <w:sz w:val="24"/>
          <w:color w:val="000000"/>
        </w:rPr>
        <w:t>[...]</w:t>
      </w:r>
      <w:r>
        <w:rPr>
          <w:rFonts w:ascii="Times New Roman" w:hAnsi="Times New Roman" w:cs="Times New Roman" w:eastAsia="Times New Roman"/>
          <w:sz w:val="24"/>
          <w:color w:val="000000"/>
        </w:rPr>
        <w:t xml:space="preserve"> deste edital. </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3.2.4.</w:t>
      </w:r>
      <w:r>
        <w:rPr>
          <w:rFonts w:ascii="Times New Roman" w:hAnsi="Times New Roman" w:cs="Times New Roman" w:eastAsia="Times New Roman"/>
          <w:sz w:val="24"/>
          <w:color w:val="000000"/>
        </w:rPr>
        <w:t xml:space="preserve"> Declaração de observância do limite de R$ 4.800.000,00 na licitação,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3.2.5.</w:t>
      </w:r>
      <w:r>
        <w:rPr>
          <w:rFonts w:ascii="Times New Roman" w:hAnsi="Times New Roman" w:cs="Times New Roman" w:eastAsia="Times New Roman"/>
          <w:sz w:val="24"/>
          <w:color w:val="000000"/>
        </w:rPr>
        <w:t xml:space="preserv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rPr>
        <w:t xml:space="preserve">3.3. </w:t>
      </w:r>
      <w:r>
        <w:rPr>
          <w:rFonts w:ascii="Times New Roman" w:hAnsi="Times New Roman" w:cs="Times New Roman" w:eastAsia="Times New Roman"/>
          <w:sz w:val="24"/>
        </w:rPr>
        <w:t xml:space="preserve">Outros eventuais </w:t>
      </w:r>
      <w:r>
        <w:rPr>
          <w:rFonts w:ascii="Times New Roman" w:hAnsi="Times New Roman" w:cs="Times New Roman" w:eastAsia="Times New Roman"/>
          <w:sz w:val="24"/>
          <w:color w:val="000000"/>
        </w:rPr>
        <w:t>documentos complementares à proposta e à habilitação, que venham a ser solicitados pelo pregoeiro, deverão ser encaminhados no prazo máximo de 3</w:t>
      </w:r>
      <w:r>
        <w:rPr>
          <w:rFonts w:ascii="Times New Roman" w:hAnsi="Times New Roman" w:cs="Times New Roman" w:eastAsia="Times New Roman"/>
          <w:b/>
          <w:sz w:val="24"/>
        </w:rPr>
        <w:t xml:space="preserve"> </w:t>
      </w:r>
      <w:r>
        <w:rPr>
          <w:rFonts w:ascii="Times New Roman" w:hAnsi="Times New Roman" w:cs="Times New Roman" w:eastAsia="Times New Roman"/>
          <w:sz w:val="24"/>
        </w:rPr>
        <w:t>dias úteis</w:t>
      </w:r>
      <w:r>
        <w:rPr>
          <w:rFonts w:ascii="Times New Roman" w:hAnsi="Times New Roman" w:cs="Times New Roman" w:eastAsia="Times New Roman"/>
          <w:sz w:val="24"/>
          <w:color w:val="000000"/>
        </w:rPr>
        <w:t>.</w:t>
      </w:r>
    </w:p>
    <w:p>
      <w:pPr>
        <w:jc w:val="both"/>
        <w:widowControl/>
        <w:spacing w:lineRule="auto" w:line="360"/>
        <w:rPr>
          <w:rFonts w:ascii="Times New Roman" w:hAnsi="Times New Roman" w:cs="Times New Roman" w:eastAsia="Times New Roman"/>
          <w:b/>
          <w:sz w:val="24"/>
        </w:rPr>
      </w:pPr>
      <w:r>
        <w:rPr>
          <w:rFonts w:ascii="Times New Roman" w:hAnsi="Times New Roman" w:cs="Times New Roman" w:eastAsia="Times New Roman"/>
          <w:b/>
          <w:sz w:val="24"/>
        </w:rPr>
        <w:t/>
      </w:r>
    </w:p>
    <w:p>
      <w:pPr>
        <w:jc w:val="both"/>
        <w:widowControl/>
        <w:spacing w:lineRule="auto" w:line="360"/>
        <w:rPr>
          <w:rFonts w:ascii="Times New Roman" w:hAnsi="Times New Roman" w:cs="Times New Roman" w:eastAsia="Times New Roman"/>
          <w:b/>
          <w:sz w:val="24"/>
        </w:rPr>
      </w:pPr>
      <w:r>
        <w:rPr>
          <w:rFonts w:ascii="Times New Roman" w:hAnsi="Times New Roman" w:cs="Times New Roman" w:eastAsia="Times New Roman"/>
          <w:b/>
          <w:sz w:val="24"/>
        </w:rPr>
        <w:t>4. PROPOSTA</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4.1. </w:t>
      </w:r>
      <w:r>
        <w:rPr>
          <w:rFonts w:ascii="Times New Roman" w:hAnsi="Times New Roman" w:cs="Times New Roman" w:eastAsia="Times New Roman"/>
          <w:sz w:val="24"/>
        </w:rPr>
        <w:t xml:space="preserve">O prazo de validade da proposta será de </w:t>
      </w:r>
      <w:r>
        <w:rPr>
          <w:rFonts w:ascii="Times New Roman" w:hAnsi="Times New Roman" w:cs="Times New Roman" w:eastAsia="Times New Roman"/>
          <w:i/>
          <w:sz w:val="24"/>
        </w:rPr>
        <w:t>90 dias</w:t>
      </w:r>
      <w:r>
        <w:rPr>
          <w:rFonts w:ascii="Times New Roman" w:hAnsi="Times New Roman" w:cs="Times New Roman" w:eastAsia="Times New Roman"/>
          <w:sz w:val="24"/>
        </w:rPr>
        <w:t>, a contar da data de abertura da sessão do pregão, estabelecida no preâmbulo desse edital.</w:t>
      </w:r>
    </w:p>
    <w:p>
      <w:pPr>
        <w:jc w:val="both"/>
        <w:widowControl/>
        <w:spacing w:lineRule="auto" w:line="360"/>
        <w:rPr>
          <w:rFonts w:ascii="Times New Roman" w:hAnsi="Times New Roman" w:cs="Times New Roman" w:eastAsia="Times New Roman"/>
          <w:b/>
          <w:sz w:val="24"/>
        </w:rPr>
      </w:pPr>
      <w:r>
        <w:rPr>
          <w:rFonts w:ascii="Times New Roman" w:hAnsi="Times New Roman" w:cs="Times New Roman" w:eastAsia="Times New Roman"/>
          <w:b/>
          <w:sz w:val="24"/>
        </w:rPr>
        <w:t/>
      </w:r>
    </w:p>
    <w:p>
      <w:pPr>
        <w:jc w:val="both"/>
        <w:widowControl/>
        <w:spacing w:lineRule="auto" w:line="360"/>
        <w:rPr>
          <w:rFonts w:ascii="Times New Roman" w:hAnsi="Times New Roman" w:cs="Times New Roman" w:eastAsia="Times New Roman"/>
          <w:b/>
          <w:sz w:val="24"/>
        </w:rPr>
      </w:pPr>
      <w:r>
        <w:rPr>
          <w:rFonts w:ascii="Times New Roman" w:hAnsi="Times New Roman" w:cs="Times New Roman" w:eastAsia="Times New Roman"/>
          <w:b/>
          <w:sz w:val="24"/>
        </w:rPr>
        <w:t>5. DOCUMENTOS DE HABILITAÇÃO</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sz w:val="24"/>
        </w:rPr>
        <w:t>Para fins de habilitação neste pregão, a licitante deverá enviar os seguintes documentos, observando o procedimento disposto no item 3 deste Edital:</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5.1. HABILITAÇÃO JURÍDICA</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a)</w:t>
      </w:r>
      <w:r>
        <w:rPr>
          <w:rFonts w:ascii="Times New Roman" w:hAnsi="Times New Roman" w:cs="Times New Roman" w:eastAsia="Times New Roman"/>
          <w:sz w:val="24"/>
        </w:rPr>
        <w:t xml:space="preserve"> cópia do registro comercial, no caso de empresa individual;</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b)</w:t>
      </w:r>
      <w:r>
        <w:rPr>
          <w:rFonts w:ascii="Times New Roman" w:hAnsi="Times New Roman" w:cs="Times New Roman" w:eastAsia="Times New Roman"/>
          <w:sz w:val="24"/>
        </w:rPr>
        <w:t xml:space="preserve"> cópia do ato constitutivo, estatuto ou contrato social em vigor, devidamente registrado, em se tratando de sociedades comerciais, e, no caso de sociedade por ações, acompanhado de documentos de eleição de seus administradores;</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c)</w:t>
      </w:r>
      <w:r>
        <w:rPr>
          <w:rFonts w:ascii="Times New Roman" w:hAnsi="Times New Roman" w:cs="Times New Roman" w:eastAsia="Times New Roman"/>
          <w:sz w:val="24"/>
        </w:rPr>
        <w:t xml:space="preserve"> prova de inscrição no Cadastro Nacional de Pessoa Jurídica (CNPJ/MF);</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d)</w:t>
      </w:r>
      <w:r>
        <w:rPr>
          <w:rFonts w:ascii="Times New Roman" w:hAnsi="Times New Roman" w:cs="Times New Roman" w:eastAsia="Times New Roman"/>
          <w:sz w:val="24"/>
        </w:rPr>
        <w:t xml:space="preserve"> cópia do decreto de autorização, em se tratando de empresa ou sociedade estrangeira em funcionamento no País, e ato de registro ou autorização para funcionamento expedido pelo órgão competente, quando a atividade assim o exigir.</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5.2. HABILITAÇÃO FISCAL, SOCIAL E TRABALHISTA</w:t>
      </w:r>
    </w:p>
    <w:p>
      <w:pPr>
        <w:jc w:val="both"/>
        <w:widowControl/>
        <w:spacing w:lineRule="auto" w:line="360"/>
        <w:rPr>
          <w:rFonts w:ascii="Times New Roman" w:hAnsi="Times New Roman" w:cs="Times New Roman" w:eastAsia="Times New Roman"/>
          <w:sz w:val="24"/>
          <w:color w:val="000000"/>
        </w:rPr>
      </w:pPr>
      <w:bookmarkStart w:id="2" w:name="art68i"/>
      <w:bookmarkEnd w:id="2"/>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comprovante de inscrição no Cadastro de Pessoas Físicas (CPF), no caso de pessoas naturais, ou no Cadastro Nacional da Pessoa Jurídica (CNPJ);</w:t>
      </w:r>
    </w:p>
    <w:p>
      <w:pPr>
        <w:jc w:val="both"/>
        <w:widowControl/>
        <w:spacing w:lineRule="auto" w:line="360"/>
        <w:rPr>
          <w:rFonts w:ascii="Times New Roman" w:hAnsi="Times New Roman" w:cs="Times New Roman" w:eastAsia="Times New Roman"/>
          <w:sz w:val="24"/>
          <w:color w:val="000000"/>
        </w:rPr>
      </w:pPr>
      <w:bookmarkStart w:id="3" w:name="art68ii"/>
      <w:bookmarkEnd w:id="3"/>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comprovante de inscrição no cadastro de contribuintes estadual e/ou municipal, se houver, relativo ao domicílio ou sede do licitante, pertinente ao seu ramo de atividade e compatível com o objeto contratual;</w:t>
      </w:r>
    </w:p>
    <w:p>
      <w:pPr>
        <w:jc w:val="both"/>
        <w:widowControl/>
        <w:spacing w:lineRule="auto" w:line="360"/>
        <w:rPr>
          <w:rFonts w:ascii="Times New Roman" w:hAnsi="Times New Roman" w:cs="Times New Roman" w:eastAsia="Times New Roman"/>
          <w:sz w:val="24"/>
          <w:color w:val="000000"/>
        </w:rPr>
      </w:pPr>
      <w:bookmarkStart w:id="4" w:name="art68iii"/>
      <w:bookmarkEnd w:id="4"/>
      <w:r>
        <w:rPr>
          <w:rFonts w:ascii="Times New Roman" w:hAnsi="Times New Roman" w:cs="Times New Roman" w:eastAsia="Times New Roman"/>
          <w:b/>
          <w:sz w:val="24"/>
          <w:color w:val="000000"/>
        </w:rPr>
        <w:t>c)</w:t>
      </w:r>
      <w:r>
        <w:rPr>
          <w:rFonts w:ascii="Times New Roman" w:hAnsi="Times New Roman" w:cs="Times New Roman" w:eastAsia="Times New Roman"/>
          <w:sz w:val="24"/>
          <w:color w:val="000000"/>
        </w:rPr>
        <w:t xml:space="preserve"> prova de regularidade perante a Fazenda federal, estadual e/ou municipal do domicílio ou sede do licitante, e regularidade com o Município de Quatro Irmãos, nos termos do art. 193 do Código Tributário Nacional, ou outra equivalente, na forma da lei;</w:t>
      </w:r>
    </w:p>
    <w:p>
      <w:pPr>
        <w:jc w:val="both"/>
        <w:widowControl/>
        <w:spacing w:lineRule="auto" w:line="360"/>
        <w:rPr>
          <w:rFonts w:ascii="Times New Roman" w:hAnsi="Times New Roman" w:cs="Times New Roman" w:eastAsia="Times New Roman"/>
          <w:sz w:val="24"/>
          <w:color w:val="000000"/>
        </w:rPr>
      </w:pPr>
      <w:bookmarkStart w:id="5" w:name="art68iv"/>
      <w:bookmarkEnd w:id="5"/>
      <w:r>
        <w:rPr>
          <w:rFonts w:ascii="Times New Roman" w:hAnsi="Times New Roman" w:cs="Times New Roman" w:eastAsia="Times New Roman"/>
          <w:b/>
          <w:sz w:val="24"/>
          <w:color w:val="000000"/>
        </w:rPr>
        <w:t>d)</w:t>
      </w:r>
      <w:r>
        <w:rPr>
          <w:rFonts w:ascii="Times New Roman" w:hAnsi="Times New Roman" w:cs="Times New Roman" w:eastAsia="Times New Roman"/>
          <w:sz w:val="24"/>
          <w:color w:val="000000"/>
        </w:rPr>
        <w:t xml:space="preserve"> prova de regularidade relativa à Seguridade Social e ao FGTS, que demonstre cumprimento dos encargos sociais instituídos por lei;</w:t>
      </w:r>
    </w:p>
    <w:p>
      <w:pPr>
        <w:jc w:val="both"/>
        <w:widowControl/>
        <w:spacing w:lineRule="auto" w:line="360"/>
        <w:rPr>
          <w:rFonts w:ascii="Times New Roman" w:hAnsi="Times New Roman" w:cs="Times New Roman" w:eastAsia="Times New Roman"/>
          <w:sz w:val="24"/>
          <w:color w:val="000000"/>
        </w:rPr>
      </w:pPr>
      <w:bookmarkStart w:id="6" w:name="art68v"/>
      <w:bookmarkEnd w:id="6"/>
      <w:r>
        <w:rPr>
          <w:rFonts w:ascii="Times New Roman" w:hAnsi="Times New Roman" w:cs="Times New Roman" w:eastAsia="Times New Roman"/>
          <w:b/>
          <w:sz w:val="24"/>
          <w:color w:val="000000"/>
        </w:rPr>
        <w:t>e)</w:t>
      </w:r>
      <w:r>
        <w:rPr>
          <w:rFonts w:ascii="Times New Roman" w:hAnsi="Times New Roman" w:cs="Times New Roman" w:eastAsia="Times New Roman"/>
          <w:sz w:val="24"/>
          <w:color w:val="000000"/>
        </w:rPr>
        <w:t xml:space="preserve"> prova de regularidade perante a Justiça do Trabalho;</w:t>
      </w:r>
    </w:p>
    <w:p>
      <w:pPr>
        <w:jc w:val="both"/>
        <w:widowControl/>
        <w:spacing w:lineRule="auto" w:line="360"/>
        <w:rPr>
          <w:rFonts w:ascii="Times New Roman" w:hAnsi="Times New Roman" w:cs="Times New Roman" w:eastAsia="Times New Roman"/>
          <w:sz w:val="24"/>
        </w:rPr>
      </w:pPr>
      <w:bookmarkStart w:id="7" w:name="art68vi"/>
      <w:bookmarkEnd w:id="7"/>
      <w:r>
        <w:rPr>
          <w:rFonts w:ascii="Times New Roman" w:hAnsi="Times New Roman" w:cs="Times New Roman" w:eastAsia="Times New Roman"/>
          <w:b/>
          <w:sz w:val="24"/>
          <w:color w:val="000000"/>
        </w:rPr>
        <w:t>f)</w:t>
      </w:r>
      <w:r>
        <w:rPr>
          <w:rFonts w:ascii="Times New Roman" w:hAnsi="Times New Roman" w:cs="Times New Roman" w:eastAsia="Times New Roman"/>
          <w:sz w:val="24"/>
          <w:color w:val="000000"/>
        </w:rPr>
        <w:t xml:space="preserve"> declaração de cumprimento do disposto no </w:t>
      </w:r>
      <w:hyperlink r:id="hrId6" w:anchor="art7xxxiii">
        <w:r>
          <w:rPr>
            <w:rFonts w:ascii="Times New Roman" w:hAnsi="Times New Roman" w:cs="Times New Roman" w:eastAsia="Times New Roman"/>
            <w:u w:color="auto"/>
            <w:sz w:val="24"/>
            <w:color w:val="000000"/>
          </w:rPr>
          <w:t>inciso XXXIII do art. 7º da Constituição Federal.</w:t>
        </w:r>
      </w:hyperlink>
      <w:r>
        <w:rPr>
          <w:rFonts w:ascii="Times New Roman" w:hAnsi="Times New Roman" w:cs="Times New Roman" w:eastAsia="Times New Roman"/>
          <w:sz w:val="24"/>
          <w:color w:val="000000"/>
        </w:rPr>
        <w:t xml:space="preserve"> </w:t>
      </w:r>
      <w:r>
        <w:rPr>
          <w:rFonts w:ascii="Times New Roman" w:hAnsi="Times New Roman" w:cs="Times New Roman" w:eastAsia="Times New Roman"/>
          <w:sz w:val="24"/>
        </w:rPr>
        <w:t>conforme o modelo do Decreto Federal n° 4.358/2002.</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widowControl/>
        <w:spacing w:lineRule="auto" w:line="360"/>
        <w:tabs>
          <w:tab w:val="left" w:pos="1215"/>
        </w:tabs>
        <w:rPr>
          <w:rFonts w:ascii="Times New Roman" w:hAnsi="Times New Roman" w:cs="Times New Roman" w:eastAsia="Times New Roman"/>
          <w:b/>
          <w:sz w:val="24"/>
        </w:rPr>
      </w:pPr>
      <w:bookmarkStart w:id="8" w:name="art68_1"/>
      <w:bookmarkEnd w:id="8"/>
      <w:r>
        <w:rPr>
          <w:rFonts w:ascii="Times New Roman" w:hAnsi="Times New Roman" w:cs="Times New Roman" w:eastAsia="Times New Roman"/>
          <w:b/>
          <w:sz w:val="24"/>
        </w:rPr>
        <w:t>5.3. HABILITAÇÃO ECONÔMICO-FINANCEIRA:</w:t>
      </w:r>
    </w:p>
    <w:p>
      <w:pPr>
        <w:jc w:val="both"/>
        <w:widowControl/>
        <w:spacing w:lineRule="auto" w:line="360"/>
        <w:rPr>
          <w:rFonts w:ascii="Times New Roman" w:hAnsi="Times New Roman" w:cs="Times New Roman" w:eastAsia="Times New Roman"/>
          <w:sz w:val="24"/>
        </w:rPr>
      </w:pPr>
      <w:bookmarkStart w:id="9" w:name="_Hlk508883518"/>
      <w:bookmarkEnd w:id="9"/>
      <w:r>
        <w:rPr>
          <w:rFonts w:ascii="Times New Roman" w:hAnsi="Times New Roman" w:cs="Times New Roman" w:eastAsia="Times New Roman"/>
          <w:b/>
          <w:sz w:val="24"/>
        </w:rPr>
        <w:t>a)</w:t>
      </w:r>
      <w:r>
        <w:rPr>
          <w:rFonts w:ascii="Times New Roman" w:hAnsi="Times New Roman" w:cs="Times New Roman" w:eastAsia="Times New Roman"/>
          <w:sz w:val="24"/>
        </w:rPr>
        <w:t xml:space="preserve"> </w:t>
      </w:r>
      <w:r>
        <w:rPr>
          <w:rFonts w:ascii="Times New Roman" w:hAnsi="Times New Roman" w:cs="Times New Roman" w:eastAsia="Times New Roman"/>
          <w:sz w:val="24"/>
          <w:color w:val="000000"/>
        </w:rPr>
        <w:t>balanço patrimonial, demonstração de resultado de exercício e demais demonstrações contábeis dos 2 (dois) últimos exercícios sociais;</w:t>
      </w:r>
      <w:r>
        <w:rPr>
          <w:rFonts w:ascii="Times New Roman" w:hAnsi="Times New Roman" w:cs="Times New Roman" w:eastAsia="Times New Roman"/>
          <w:sz w:val="24"/>
        </w:rPr>
        <w:t xml:space="preserve">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b) </w:t>
      </w:r>
      <w:r>
        <w:rPr>
          <w:rFonts w:ascii="Times New Roman" w:hAnsi="Times New Roman" w:cs="Times New Roman" w:eastAsia="Times New Roman"/>
          <w:sz w:val="24"/>
        </w:rPr>
        <w:t>certidão negativa de falência expedida pelo distribuidor da sede da pessoa jurídica, em prazo não superior a 90 dias da data designada para a apresentação do documento;</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xml:space="preserve">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5.3.1.</w:t>
      </w:r>
      <w:r>
        <w:rPr>
          <w:rFonts w:ascii="Times New Roman" w:hAnsi="Times New Roman" w:cs="Times New Roman" w:eastAsia="Times New Roman"/>
          <w:sz w:val="24"/>
        </w:rPr>
        <w:t xml:space="preserve"> É</w:t>
      </w:r>
      <w:r>
        <w:rPr>
          <w:rFonts w:ascii="Times New Roman" w:hAnsi="Times New Roman" w:cs="Times New Roman" w:eastAsia="Times New Roman"/>
          <w:b/>
          <w:sz w:val="24"/>
        </w:rPr>
        <w:t xml:space="preserve"> </w:t>
      </w:r>
      <w:r>
        <w:rPr>
          <w:rFonts w:ascii="Times New Roman" w:hAnsi="Times New Roman" w:cs="Times New Roman" w:eastAsia="Times New Roman"/>
          <w:sz w:val="24"/>
        </w:rPr>
        <w:t>vedada a substituição do balanço por balancete ou balanço provisório.</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5.3.2.</w:t>
      </w:r>
      <w:r>
        <w:rPr>
          <w:rFonts w:ascii="Times New Roman" w:hAnsi="Times New Roman" w:cs="Times New Roman" w:eastAsia="Times New Roman"/>
          <w:sz w:val="24"/>
        </w:rPr>
        <w:t xml:space="preserve"> Os licitantes que utilizam a escrituração contábil digital - ECD e que aguardam a autenticação do balanço patrimonial pela Junta Comercial poderão apresentar, em substituição ao registro, o protocolo de envio, no Sistema Público de Escrituração Digital - SPED, do balanço à Receita Federal do Brasil.</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5.3.3.</w:t>
      </w:r>
      <w:r>
        <w:rPr>
          <w:rFonts w:ascii="Times New Roman" w:hAnsi="Times New Roman" w:cs="Times New Roman" w:eastAsia="Times New Roman"/>
          <w:sz w:val="24"/>
          <w:color w:val="000000"/>
        </w:rPr>
        <w:t xml:space="preserve"> As empresas criadas no exercício financeiro da licitação deverão atender a todas as exigências da habilitação e ficarão autorizadas a substituir os demonstrativos contábeis pelo balanço de abertura.</w:t>
      </w:r>
    </w:p>
    <w:p>
      <w:pPr>
        <w:jc w:val="both"/>
        <w:widowControl/>
        <w:spacing w:lineRule="auto" w:line="360"/>
        <w:tabs>
          <w:tab w:val="left" w:pos="851"/>
        </w:tabs>
        <w:rPr>
          <w:rFonts w:ascii="Times New Roman" w:hAnsi="Times New Roman" w:cs="Times New Roman" w:eastAsia="Times New Roman"/>
          <w:sz w:val="24"/>
        </w:rPr>
      </w:pPr>
      <w:r>
        <w:rPr>
          <w:rFonts w:ascii="Times New Roman" w:hAnsi="Times New Roman" w:cs="Times New Roman" w:eastAsia="Times New Roman"/>
          <w:b/>
          <w:sz w:val="24"/>
        </w:rPr>
        <w:t xml:space="preserve">5.3.4. </w:t>
      </w:r>
      <w:r>
        <w:rPr>
          <w:rFonts w:ascii="Times New Roman" w:hAnsi="Times New Roman" w:cs="Times New Roman" w:eastAsia="Times New Roman"/>
          <w:sz w:val="24"/>
        </w:rPr>
        <w:t>Para as empresas cadastradas no Município, a documentação poderá ser substituída pelo seu Certificado de Registro de Fornecedor, desde que seu objetivo social comporte o objeto licitado e o registro cadastral esteja no prazo de validade.</w:t>
      </w:r>
    </w:p>
    <w:p>
      <w:pPr>
        <w:jc w:val="both"/>
        <w:widowControl/>
        <w:spacing w:lineRule="auto" w:line="360"/>
        <w:tabs>
          <w:tab w:val="left" w:pos="851"/>
        </w:tabs>
        <w:rPr>
          <w:rFonts w:ascii="Times New Roman" w:hAnsi="Times New Roman" w:cs="Times New Roman" w:eastAsia="Times New Roman"/>
          <w:sz w:val="24"/>
        </w:rPr>
      </w:pPr>
      <w:r>
        <w:rPr>
          <w:rFonts w:ascii="Times New Roman" w:hAnsi="Times New Roman" w:cs="Times New Roman" w:eastAsia="Times New Roman"/>
          <w:b/>
          <w:sz w:val="24"/>
        </w:rPr>
        <w:t xml:space="preserve">5.3.4.1. </w:t>
      </w:r>
      <w:r>
        <w:rPr>
          <w:rFonts w:ascii="Times New Roman" w:hAnsi="Times New Roman" w:cs="Times New Roman" w:eastAsia="Times New Roman"/>
          <w:sz w:val="24"/>
        </w:rPr>
        <w:t>A substituição referida no item 5.3.4. somente terá eficácia em relação aos documentos que tenham sido efetivamente apresentados para o cadastro e desde que estejam atualizados na data da sessão, constante no preâmbulo.</w:t>
      </w:r>
    </w:p>
    <w:p>
      <w:pPr>
        <w:jc w:val="both"/>
        <w:widowControl/>
        <w:spacing w:lineRule="auto" w:line="360"/>
        <w:tabs>
          <w:tab w:val="left" w:pos="993"/>
        </w:tabs>
        <w:rPr>
          <w:rFonts w:ascii="Times New Roman" w:hAnsi="Times New Roman" w:cs="Times New Roman" w:eastAsia="Times New Roman"/>
          <w:sz w:val="24"/>
        </w:rPr>
      </w:pPr>
      <w:r>
        <w:rPr>
          <w:rFonts w:ascii="Times New Roman" w:hAnsi="Times New Roman" w:cs="Times New Roman" w:eastAsia="Times New Roman"/>
          <w:b/>
          <w:sz w:val="24"/>
        </w:rPr>
        <w:t>5.3.5.</w:t>
      </w:r>
      <w:r>
        <w:rPr>
          <w:rFonts w:ascii="Times New Roman" w:hAnsi="Times New Roman" w:cs="Times New Roman" w:eastAsia="Times New Roman"/>
          <w:sz w:val="24"/>
        </w:rPr>
        <w:t xml:space="preserve"> Caso algum dos documentos obrigatórios, exigidos para cadastro, esteja com o prazo de validade expirado, o licitante deverá regularizá-lo no órgão emitente do cadastro ou anexá-lo, como complemento ao certificado apresentado, sob pena de inabilitação.</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5.3.6</w:t>
      </w:r>
      <w:r>
        <w:rPr>
          <w:rFonts w:ascii="Times New Roman" w:hAnsi="Times New Roman" w:cs="Times New Roman" w:eastAsia="Times New Roman"/>
          <w:sz w:val="24"/>
          <w:color w:val="000000"/>
        </w:rPr>
        <w:t xml:space="preserve"> Após a entrega dos documentos para habilitação, não será permitida a substituição ou a apresentação de novos documentos, salvo em sede de diligência, para:</w:t>
      </w:r>
      <w:bookmarkStart w:id="10" w:name="art64i"/>
      <w:bookmarkEnd w:id="10"/>
      <w:r>
        <w:rPr>
          <w:rFonts w:ascii="Times New Roman" w:hAnsi="Times New Roman" w:cs="Times New Roman" w:eastAsia="Times New Roman"/>
          <w:sz w:val="24"/>
          <w:color w:val="000000"/>
        </w:rPr>
        <w:t xml:space="preserve"> </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complementação de informações acerca dos documentos já apresentados pelos licitantes e desde que necessária para apurar fatos existentes à época da abertura do certame;</w:t>
      </w:r>
      <w:bookmarkStart w:id="11" w:name="art64ii"/>
      <w:bookmarkEnd w:id="11"/>
      <w:r>
        <w:rPr>
          <w:rFonts w:ascii="Times New Roman" w:hAnsi="Times New Roman" w:cs="Times New Roman" w:eastAsia="Times New Roman"/>
          <w:sz w:val="24"/>
          <w:color w:val="000000"/>
        </w:rPr>
        <w:t xml:space="preserve"> </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atualização de documentos cuja validade tenha expirado após a data de recebimento das propostas.</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5.3.7.</w:t>
      </w:r>
      <w:r>
        <w:rPr>
          <w:rFonts w:ascii="Times New Roman" w:hAnsi="Times New Roman" w:cs="Times New Roman" w:eastAsia="Times New Roman"/>
          <w:sz w:val="24"/>
          <w:color w:val="000000"/>
        </w:rPr>
        <w:t xml:space="preserve"> Na análise dos documentos de habilitação, a comissão de licitação poderá sanar erros ou falhas que não alterem a substância dos documentos e sua validade jurídica, mediante despacho fundamentado registrado e acessível a todos, atribuindo-lhes eficácia para fins de habilitação e classificação. </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5.3.8.</w:t>
      </w:r>
      <w:r>
        <w:rPr>
          <w:rFonts w:ascii="Times New Roman" w:hAnsi="Times New Roman" w:cs="Times New Roman" w:eastAsia="Times New Roman"/>
          <w:sz w:val="24"/>
          <w:color w:val="000000"/>
        </w:rPr>
        <w:t xml:space="preserve"> A habilitação poderá ser realizada por processo eletrônico de comunicação a distância, nos termos dispostos em regulamento (necessário que o órgão público regulamente essa possibilidade).</w:t>
      </w:r>
    </w:p>
    <w:p>
      <w:pPr>
        <w:jc w:val="both"/>
        <w:widowControl/>
        <w:spacing w:lineRule="auto" w:line="360"/>
        <w:rPr>
          <w:rFonts w:ascii="Times New Roman" w:hAnsi="Times New Roman" w:cs="Times New Roman" w:eastAsia="Times New Roman"/>
          <w:sz w:val="24"/>
          <w:color w:val="FF0000"/>
        </w:rPr>
      </w:pPr>
      <w:r>
        <w:rPr>
          <w:rFonts w:ascii="Times New Roman" w:hAnsi="Times New Roman" w:cs="Times New Roman" w:eastAsia="Times New Roman"/>
          <w:sz w:val="24"/>
          <w:color w:val="FF0000"/>
        </w:rPr>
        <w:t/>
      </w:r>
    </w:p>
    <w:p>
      <w:pPr>
        <w:jc w:val="both"/>
        <w:widowControl/>
        <w:spacing w:lineRule="auto" w:line="360"/>
        <w:rPr>
          <w:rFonts w:ascii="Times New Roman" w:hAnsi="Times New Roman" w:cs="Times New Roman" w:eastAsia="Times New Roman"/>
          <w:b/>
          <w:sz w:val="24"/>
          <w:color w:val="000000"/>
        </w:rPr>
      </w:pPr>
      <w:bookmarkStart w:id="12" w:name="_Hlk108091864"/>
      <w:bookmarkEnd w:id="12"/>
      <w:r>
        <w:rPr>
          <w:rFonts w:ascii="Times New Roman" w:hAnsi="Times New Roman" w:cs="Times New Roman" w:eastAsia="Times New Roman"/>
          <w:b/>
          <w:sz w:val="24"/>
          <w:color w:val="000000"/>
        </w:rPr>
        <w:t>5.4. QUALIFICAÇÃO TÉCNICO-PROFISSIONAL E TÉCNICO-OPERACIONAL</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5.4.1. </w:t>
      </w:r>
      <w:r>
        <w:rPr>
          <w:rFonts w:ascii="Times New Roman" w:hAnsi="Times New Roman" w:cs="Times New Roman" w:eastAsia="Times New Roman"/>
          <w:sz w:val="24"/>
          <w:color w:val="000000"/>
        </w:rPr>
        <w:t>A documentação relativa à qualificação técnico-profissional e técnico-operacional será restrita a:</w:t>
      </w:r>
    </w:p>
    <w:p>
      <w:pPr>
        <w:jc w:val="both"/>
        <w:widowControl/>
        <w:spacing w:lineRule="auto" w:line="360"/>
        <w:rPr>
          <w:rFonts w:ascii="Times New Roman" w:hAnsi="Times New Roman" w:cs="Times New Roman" w:eastAsia="Times New Roman"/>
          <w:sz w:val="24"/>
          <w:color w:val="000000"/>
        </w:rPr>
      </w:pPr>
      <w:bookmarkStart w:id="13" w:name="art67i"/>
      <w:bookmarkEnd w:id="13"/>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Atestado de Capacidade Técnica de que forneceu/prestou serviços compatíveis com o objeto ora licitado.</w:t>
      </w:r>
    </w:p>
    <w:p>
      <w:pPr>
        <w:jc w:val="both"/>
        <w:widowControl/>
        <w:spacing w:lineRule="auto" w:line="360"/>
        <w:rPr>
          <w:rFonts w:ascii="Times New Roman" w:hAnsi="Times New Roman" w:cs="Times New Roman" w:eastAsia="Times New Roman"/>
          <w:sz w:val="24"/>
          <w:color w:val="000000"/>
        </w:rPr>
      </w:pPr>
      <w:bookmarkStart w:id="14" w:name="art67_1"/>
      <w:bookmarkEnd w:id="14"/>
      <w:r>
        <w:rPr>
          <w:rFonts w:ascii="Times New Roman" w:hAnsi="Times New Roman" w:cs="Times New Roman" w:eastAsia="Times New Roman"/>
          <w:sz w:val="24"/>
          <w:color w:val="000000"/>
        </w:rPr>
        <w:t xml:space="preserve"> </w:t>
      </w:r>
    </w:p>
    <w:p>
      <w:pPr>
        <w:jc w:val="both"/>
        <w:widowControl/>
        <w:spacing w:lineRule="auto" w:line="360"/>
        <w:tabs>
          <w:tab w:val="left" w:pos="1134"/>
        </w:tabs>
        <w:rPr>
          <w:rFonts w:ascii="Times New Roman" w:hAnsi="Times New Roman" w:cs="Times New Roman" w:eastAsia="Times New Roman"/>
          <w:b/>
          <w:sz w:val="24"/>
        </w:rPr>
      </w:pPr>
      <w:bookmarkStart w:id="15" w:name="art67_3"/>
      <w:bookmarkEnd w:id="15"/>
      <w:r>
        <w:rPr>
          <w:rFonts w:ascii="Times New Roman" w:hAnsi="Times New Roman" w:cs="Times New Roman" w:eastAsia="Times New Roman"/>
          <w:b/>
          <w:sz w:val="24"/>
        </w:rPr>
        <w:t>6. GARANTIA DE PROPOSTA</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6.1</w:t>
      </w:r>
      <w:r>
        <w:rPr>
          <w:rFonts w:ascii="Times New Roman" w:hAnsi="Times New Roman" w:cs="Times New Roman" w:eastAsia="Times New Roman"/>
          <w:sz w:val="24"/>
          <w:color w:val="000000"/>
        </w:rPr>
        <w:t xml:space="preserve"> Não será exigida garantia da proposta.</w:t>
      </w:r>
    </w:p>
    <w:p>
      <w:pPr>
        <w:jc w:val="both"/>
        <w:widowControl/>
        <w:spacing w:lineRule="auto" w:line="360"/>
        <w:rPr>
          <w:rFonts w:ascii="Times New Roman" w:hAnsi="Times New Roman" w:cs="Times New Roman" w:eastAsia="Times New Roman"/>
          <w:b/>
          <w:sz w:val="24"/>
          <w:color w:val="000000"/>
        </w:rPr>
      </w:pPr>
      <w:r>
        <w:rPr>
          <w:rFonts w:ascii="Times New Roman" w:hAnsi="Times New Roman" w:cs="Times New Roman" w:eastAsia="Times New Roman"/>
          <w:b/>
          <w:sz w:val="24"/>
          <w:color w:val="000000"/>
        </w:rPr>
        <w:t/>
      </w:r>
    </w:p>
    <w:p>
      <w:pPr>
        <w:jc w:val="both"/>
        <w:widowControl/>
        <w:spacing w:lineRule="auto" w:line="360"/>
        <w:rPr>
          <w:rFonts w:ascii="Times New Roman" w:hAnsi="Times New Roman" w:cs="Times New Roman" w:eastAsia="Times New Roman"/>
          <w:b/>
          <w:sz w:val="24"/>
        </w:rPr>
      </w:pPr>
      <w:r>
        <w:rPr>
          <w:rFonts w:ascii="Times New Roman" w:hAnsi="Times New Roman" w:cs="Times New Roman" w:eastAsia="Times New Roman"/>
          <w:b/>
          <w:sz w:val="24"/>
        </w:rPr>
        <w:t>7. VEDAÇÕES</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rPr>
        <w:t xml:space="preserve">7.1 </w:t>
      </w:r>
      <w:r>
        <w:rPr>
          <w:rFonts w:ascii="Times New Roman" w:hAnsi="Times New Roman" w:cs="Times New Roman" w:eastAsia="Times New Roman"/>
          <w:sz w:val="24"/>
          <w:color w:val="000000"/>
        </w:rPr>
        <w:t>Não poderão disputar licitação ou participar da execução do contrato, direta ou indiretamente:</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pessoa física ou jurídica que se encontre, ao tempo da licitação, impossibilitada de participar da licitação em decorrência de sanção que lhe foi imposta;</w:t>
      </w:r>
    </w:p>
    <w:p>
      <w:pPr>
        <w:jc w:val="both"/>
        <w:widowControl/>
        <w:spacing w:lineRule="auto" w:line="360"/>
        <w:rPr>
          <w:rFonts w:ascii="Times New Roman" w:hAnsi="Times New Roman" w:cs="Times New Roman" w:eastAsia="Times New Roman"/>
          <w:sz w:val="24"/>
          <w:color w:val="000000"/>
        </w:rPr>
      </w:pPr>
      <w:bookmarkStart w:id="16" w:name="art14iv"/>
      <w:bookmarkEnd w:id="16"/>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pPr>
        <w:jc w:val="both"/>
        <w:widowControl/>
        <w:spacing w:lineRule="auto" w:line="360"/>
        <w:rPr>
          <w:rFonts w:ascii="Times New Roman" w:hAnsi="Times New Roman" w:cs="Times New Roman" w:eastAsia="Times New Roman"/>
          <w:sz w:val="24"/>
          <w:color w:val="000000"/>
        </w:rPr>
      </w:pPr>
      <w:bookmarkStart w:id="17" w:name="art14v"/>
      <w:bookmarkEnd w:id="17"/>
      <w:r>
        <w:rPr>
          <w:rFonts w:ascii="Times New Roman" w:hAnsi="Times New Roman" w:cs="Times New Roman" w:eastAsia="Times New Roman"/>
          <w:b/>
          <w:sz w:val="24"/>
          <w:color w:val="000000"/>
        </w:rPr>
        <w:t>c)</w:t>
      </w:r>
      <w:r>
        <w:rPr>
          <w:rFonts w:ascii="Times New Roman" w:hAnsi="Times New Roman" w:cs="Times New Roman" w:eastAsia="Times New Roman"/>
          <w:sz w:val="24"/>
          <w:color w:val="000000"/>
        </w:rPr>
        <w:t xml:space="preserve"> empresas controladoras, controladas ou coligadas, nos termos da </w:t>
      </w:r>
      <w:hyperlink r:id="hrId7">
        <w:r>
          <w:rPr>
            <w:rFonts w:ascii="Times New Roman" w:hAnsi="Times New Roman" w:cs="Times New Roman" w:eastAsia="Times New Roman"/>
            <w:u w:val="single" w:color="auto"/>
            <w:sz w:val="24"/>
            <w:color w:val="0000FF"/>
          </w:rPr>
          <w:t>Lei nº 6.404, de 15 de dezembro de 1976</w:t>
        </w:r>
      </w:hyperlink>
      <w:r>
        <w:rPr>
          <w:rFonts w:ascii="Times New Roman" w:hAnsi="Times New Roman" w:cs="Times New Roman" w:eastAsia="Times New Roman"/>
          <w:sz w:val="24"/>
          <w:color w:val="000000"/>
        </w:rPr>
        <w:t>, concorrendo entre si;</w:t>
      </w:r>
    </w:p>
    <w:p>
      <w:pPr>
        <w:jc w:val="both"/>
        <w:widowControl/>
        <w:spacing w:lineRule="auto" w:line="360"/>
        <w:rPr>
          <w:rFonts w:ascii="Times New Roman" w:hAnsi="Times New Roman" w:cs="Times New Roman" w:eastAsia="Times New Roman"/>
          <w:sz w:val="24"/>
          <w:color w:val="000000"/>
        </w:rPr>
      </w:pPr>
      <w:bookmarkStart w:id="18" w:name="art14vi"/>
      <w:bookmarkEnd w:id="18"/>
      <w:r>
        <w:rPr>
          <w:rFonts w:ascii="Times New Roman" w:hAnsi="Times New Roman" w:cs="Times New Roman" w:eastAsia="Times New Roman"/>
          <w:b/>
          <w:sz w:val="24"/>
          <w:color w:val="000000"/>
        </w:rPr>
        <w:t>d)</w:t>
      </w:r>
      <w:r>
        <w:rPr>
          <w:rFonts w:ascii="Times New Roman" w:hAnsi="Times New Roman" w:cs="Times New Roman" w:eastAsia="Times New Roman"/>
          <w:sz w:val="24"/>
          <w:color w:val="000000"/>
        </w:rPr>
        <w:t xml:space="preserv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e)</w:t>
      </w:r>
      <w:r>
        <w:rPr>
          <w:rFonts w:ascii="Times New Roman" w:hAnsi="Times New Roman" w:cs="Times New Roman" w:eastAsia="Times New Roman"/>
          <w:sz w:val="24"/>
          <w:color w:val="000000"/>
        </w:rPr>
        <w:t xml:space="preserve"> agente público do órgão licitante, devendo ser observadas as situações que possam configurar conflito de interesses no exercício ou após o exercício do cargo ou emprego, nos termos da legislação que disciplina a matéria.</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7.2.</w:t>
      </w:r>
      <w:r>
        <w:rPr>
          <w:rFonts w:ascii="Times New Roman" w:hAnsi="Times New Roman" w:cs="Times New Roman" w:eastAsia="Times New Roman"/>
          <w:sz w:val="24"/>
          <w:color w:val="000000"/>
        </w:rPr>
        <w:t xml:space="preserve"> O impedimento de que trata a alínea “a” do item 7.1, supra,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pPr>
        <w:jc w:val="both"/>
        <w:widowControl/>
        <w:spacing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rPr>
        <w:t>7.3.</w:t>
      </w:r>
      <w:r>
        <w:rPr>
          <w:rFonts w:ascii="Times New Roman" w:hAnsi="Times New Roman" w:cs="Times New Roman" w:eastAsia="Times New Roman"/>
          <w:sz w:val="24"/>
        </w:rPr>
        <w:t xml:space="preserve"> </w:t>
      </w:r>
      <w:r>
        <w:rPr>
          <w:rFonts w:ascii="Times New Roman" w:hAnsi="Times New Roman" w:cs="Times New Roman" w:eastAsia="Times New Roman"/>
          <w:sz w:val="24"/>
          <w:color w:val="000000"/>
        </w:rPr>
        <w:t>Durante a vigência do contrato, é vedado ao contratado contratar cônjuge, companheiro ou parente em linha reta, colateral ou por afinidade, até o terceiro grau, de dirigente do órgão contratante ou de agente público que desempenhe função na licitação ou atue na fiscalização ou na gestão do contrato.</w:t>
      </w:r>
    </w:p>
    <w:p>
      <w:pPr>
        <w:jc w:val="both"/>
        <w:widowControl/>
        <w:spacing w:lineRule="auto" w:line="360"/>
        <w:rPr>
          <w:rFonts w:ascii="Times New Roman" w:hAnsi="Times New Roman" w:cs="Times New Roman" w:eastAsia="Times New Roman"/>
          <w:b/>
          <w:sz w:val="24"/>
          <w:color w:val="FF0000"/>
        </w:rPr>
      </w:pPr>
      <w:r>
        <w:rPr>
          <w:rFonts w:ascii="Times New Roman" w:hAnsi="Times New Roman" w:cs="Times New Roman" w:eastAsia="Times New Roman"/>
          <w:b/>
          <w:sz w:val="24"/>
          <w:color w:val="FF0000"/>
        </w:rPr>
        <w:t/>
      </w:r>
    </w:p>
    <w:p>
      <w:pPr>
        <w:jc w:val="both"/>
        <w:widowControl/>
        <w:spacing w:lineRule="auto" w:line="360"/>
        <w:rPr>
          <w:rFonts w:ascii="Times New Roman" w:hAnsi="Times New Roman" w:cs="Times New Roman" w:eastAsia="Times New Roman"/>
          <w:b/>
          <w:sz w:val="24"/>
        </w:rPr>
      </w:pPr>
      <w:r>
        <w:rPr>
          <w:rFonts w:ascii="Times New Roman" w:hAnsi="Times New Roman" w:cs="Times New Roman" w:eastAsia="Times New Roman"/>
          <w:b/>
          <w:sz w:val="24"/>
        </w:rPr>
        <w:t>8. ABERTURA DA SESSÃO PÚBLICA</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8.1. </w:t>
      </w:r>
      <w:r>
        <w:rPr>
          <w:rFonts w:ascii="Times New Roman" w:hAnsi="Times New Roman" w:cs="Times New Roman" w:eastAsia="Times New Roman"/>
          <w:sz w:val="24"/>
        </w:rPr>
        <w:t>No dia e hora indicados no preâmbulo, o pregoeiro abrirá a sessão pública, mediante a utilização de sua chave e senha.</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8.2. </w:t>
      </w:r>
      <w:r>
        <w:rPr>
          <w:rFonts w:ascii="Times New Roman" w:hAnsi="Times New Roman" w:cs="Times New Roman" w:eastAsia="Times New Roman"/>
          <w:sz w:val="24"/>
        </w:rPr>
        <w:t>O licitante poderá participar da sessão pública na internet, mediante a utilização de sua chave de acesso e senha, e deverá acompanhar o andamento do certame e as operações realizadas no sistema eletrônico durante toda a sessão pública do pregão, ficando responsável pela perda de negócios diante da inobservância de mensagens emitidas pelo sistema ou de sua desconexão, conforme item 2.3.2 deste Edital.</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8.3.</w:t>
      </w:r>
      <w:r>
        <w:rPr>
          <w:rFonts w:ascii="Times New Roman" w:hAnsi="Times New Roman" w:cs="Times New Roman" w:eastAsia="Times New Roman"/>
          <w:sz w:val="24"/>
        </w:rPr>
        <w:t>A comunicação entre o pregoeiro e os licitantes ocorrerá mediante troca de mensagens em campo próprio do sistema eletrônico.</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8.4. </w:t>
      </w:r>
      <w:r>
        <w:rPr>
          <w:rFonts w:ascii="Times New Roman" w:hAnsi="Times New Roman" w:cs="Times New Roman" w:eastAsia="Times New Roman"/>
          <w:sz w:val="24"/>
        </w:rPr>
        <w:t>Iniciada a sessão, as propostas de preços contendo a descrição do objeto e do valor estarão disponíveis na internet.</w:t>
      </w:r>
    </w:p>
    <w:p>
      <w:pPr>
        <w:jc w:val="both"/>
        <w:widowControl/>
        <w:spacing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
      </w:r>
    </w:p>
    <w:p>
      <w:pPr>
        <w:jc w:val="both"/>
        <w:widowControl/>
        <w:spacing w:lineRule="auto" w:line="360"/>
        <w:rPr>
          <w:rFonts w:ascii="Times New Roman" w:hAnsi="Times New Roman" w:cs="Times New Roman" w:eastAsia="Times New Roman"/>
          <w:b/>
          <w:sz w:val="24"/>
        </w:rPr>
      </w:pPr>
      <w:r>
        <w:rPr>
          <w:rFonts w:ascii="Times New Roman" w:hAnsi="Times New Roman" w:cs="Times New Roman" w:eastAsia="Times New Roman"/>
          <w:b/>
          <w:sz w:val="24"/>
        </w:rPr>
        <w:t>9. CLASSIFICAÇÃO INICIAL DAS PROPOSTAS E FORMULAÇÃO DE LANCES</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9.1. </w:t>
      </w:r>
      <w:r>
        <w:rPr>
          <w:rFonts w:ascii="Times New Roman" w:hAnsi="Times New Roman" w:cs="Times New Roman" w:eastAsia="Times New Roman"/>
          <w:sz w:val="24"/>
        </w:rPr>
        <w:t>O pregoeiro verificará as propostas apresentadas e desclassificará fundamentadamente aquelas que não estejam em conformidade com os requisitos estabelecidos no edital.</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9.2. </w:t>
      </w:r>
      <w:r>
        <w:rPr>
          <w:rFonts w:ascii="Times New Roman" w:hAnsi="Times New Roman" w:cs="Times New Roman" w:eastAsia="Times New Roman"/>
          <w:sz w:val="24"/>
        </w:rPr>
        <w:t>Serão desclassificadas as propostas que:</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a) </w:t>
      </w:r>
      <w:r>
        <w:rPr>
          <w:rFonts w:ascii="Times New Roman" w:hAnsi="Times New Roman" w:cs="Times New Roman" w:eastAsia="Times New Roman"/>
          <w:sz w:val="24"/>
          <w:color w:val="000000"/>
        </w:rPr>
        <w:t>contiverem vícios insanáveis;</w:t>
      </w:r>
    </w:p>
    <w:p>
      <w:pPr>
        <w:jc w:val="both"/>
        <w:widowControl/>
        <w:spacing w:lineRule="auto" w:line="360"/>
        <w:rPr>
          <w:rFonts w:ascii="Times New Roman" w:hAnsi="Times New Roman" w:cs="Times New Roman" w:eastAsia="Times New Roman"/>
          <w:sz w:val="24"/>
          <w:color w:val="000000"/>
        </w:rPr>
      </w:pPr>
      <w:bookmarkStart w:id="19" w:name="art59ii"/>
      <w:bookmarkEnd w:id="19"/>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não obedecerem às especificações técnicas pormenorizadas no edital;</w:t>
      </w:r>
    </w:p>
    <w:p>
      <w:pPr>
        <w:jc w:val="both"/>
        <w:widowControl/>
        <w:spacing w:lineRule="auto" w:line="360"/>
        <w:rPr>
          <w:rFonts w:ascii="Times New Roman" w:hAnsi="Times New Roman" w:cs="Times New Roman" w:eastAsia="Times New Roman"/>
          <w:sz w:val="24"/>
          <w:color w:val="000000"/>
        </w:rPr>
      </w:pPr>
      <w:bookmarkStart w:id="20" w:name="art59iii"/>
      <w:bookmarkEnd w:id="20"/>
      <w:r>
        <w:rPr>
          <w:rFonts w:ascii="Times New Roman" w:hAnsi="Times New Roman" w:cs="Times New Roman" w:eastAsia="Times New Roman"/>
          <w:b/>
          <w:sz w:val="24"/>
          <w:color w:val="000000"/>
        </w:rPr>
        <w:t>c)</w:t>
      </w:r>
      <w:r>
        <w:rPr>
          <w:rFonts w:ascii="Times New Roman" w:hAnsi="Times New Roman" w:cs="Times New Roman" w:eastAsia="Times New Roman"/>
          <w:sz w:val="24"/>
          <w:color w:val="000000"/>
        </w:rPr>
        <w:t xml:space="preserve"> apresentarem preços inexequíveis ou permanecerem acima do orçamento estimado para a contratação;</w:t>
      </w:r>
    </w:p>
    <w:p>
      <w:pPr>
        <w:jc w:val="both"/>
        <w:widowControl/>
        <w:spacing w:lineRule="auto" w:line="360"/>
        <w:rPr>
          <w:rFonts w:ascii="Times New Roman" w:hAnsi="Times New Roman" w:cs="Times New Roman" w:eastAsia="Times New Roman"/>
          <w:sz w:val="24"/>
          <w:color w:val="000000"/>
        </w:rPr>
      </w:pPr>
      <w:bookmarkStart w:id="21" w:name="art59iv"/>
      <w:bookmarkEnd w:id="21"/>
      <w:r>
        <w:rPr>
          <w:rFonts w:ascii="Times New Roman" w:hAnsi="Times New Roman" w:cs="Times New Roman" w:eastAsia="Times New Roman"/>
          <w:b/>
          <w:sz w:val="24"/>
          <w:color w:val="000000"/>
        </w:rPr>
        <w:t>d)</w:t>
      </w:r>
      <w:r>
        <w:rPr>
          <w:rFonts w:ascii="Times New Roman" w:hAnsi="Times New Roman" w:cs="Times New Roman" w:eastAsia="Times New Roman"/>
          <w:sz w:val="24"/>
          <w:color w:val="000000"/>
        </w:rPr>
        <w:t xml:space="preserve"> não tiverem sua exequibilidade demonstrada, quando exigido pela Administração;</w:t>
      </w:r>
    </w:p>
    <w:p>
      <w:pPr>
        <w:jc w:val="both"/>
        <w:widowControl/>
        <w:spacing w:lineRule="auto" w:line="360"/>
        <w:rPr>
          <w:rFonts w:ascii="Times New Roman" w:hAnsi="Times New Roman" w:cs="Times New Roman" w:eastAsia="Times New Roman"/>
          <w:sz w:val="24"/>
          <w:color w:val="000000"/>
        </w:rPr>
      </w:pPr>
      <w:bookmarkStart w:id="22" w:name="art59v"/>
      <w:bookmarkEnd w:id="22"/>
      <w:r>
        <w:rPr>
          <w:rFonts w:ascii="Times New Roman" w:hAnsi="Times New Roman" w:cs="Times New Roman" w:eastAsia="Times New Roman"/>
          <w:b/>
          <w:sz w:val="24"/>
          <w:color w:val="000000"/>
        </w:rPr>
        <w:t>e)</w:t>
      </w:r>
      <w:r>
        <w:rPr>
          <w:rFonts w:ascii="Times New Roman" w:hAnsi="Times New Roman" w:cs="Times New Roman" w:eastAsia="Times New Roman"/>
          <w:sz w:val="24"/>
          <w:color w:val="000000"/>
        </w:rPr>
        <w:t xml:space="preserve"> apresentarem desconformidade com quaisquer outras exigências do edital, desde que insanável.</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9.3</w:t>
      </w:r>
      <w:r>
        <w:rPr>
          <w:rFonts w:ascii="Times New Roman" w:hAnsi="Times New Roman" w:cs="Times New Roman" w:eastAsia="Times New Roman"/>
          <w:sz w:val="24"/>
          <w:color w:val="000000"/>
        </w:rPr>
        <w:t xml:space="preserve"> A verificação da conformidade das propostas poderá ser feita exclusivamente em relação à proposta mais bem classificada.</w:t>
      </w:r>
    </w:p>
    <w:p>
      <w:pPr>
        <w:jc w:val="both"/>
        <w:widowControl/>
        <w:spacing w:lineRule="auto" w:line="360"/>
        <w:tabs>
          <w:tab w:val="left" w:pos="1134"/>
        </w:tabs>
        <w:rPr>
          <w:rFonts w:ascii="Times New Roman" w:hAnsi="Times New Roman" w:cs="Times New Roman" w:eastAsia="Times New Roman"/>
          <w:sz w:val="24"/>
        </w:rPr>
      </w:pPr>
      <w:bookmarkStart w:id="23" w:name="art59_2"/>
      <w:bookmarkEnd w:id="23"/>
      <w:r>
        <w:rPr>
          <w:rFonts w:ascii="Times New Roman" w:hAnsi="Times New Roman" w:cs="Times New Roman" w:eastAsia="Times New Roman"/>
          <w:b/>
          <w:sz w:val="24"/>
        </w:rPr>
        <w:t xml:space="preserve">9.4 </w:t>
      </w:r>
      <w:r>
        <w:rPr>
          <w:rFonts w:ascii="Times New Roman" w:hAnsi="Times New Roman" w:cs="Times New Roman" w:eastAsia="Times New Roman"/>
          <w:sz w:val="24"/>
        </w:rPr>
        <w:t>Quaisquer inserções na proposta que visem modificar, extinguir ou criar direitos, sem previsão no edital, serão tidas como inexistentes, aproveitando-se a proposta no que não for conflitante com o instrumento convocatório.</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9.5</w:t>
      </w:r>
      <w:r>
        <w:rPr>
          <w:rFonts w:ascii="Times New Roman" w:hAnsi="Times New Roman" w:cs="Times New Roman" w:eastAsia="Times New Roman"/>
          <w:sz w:val="24"/>
        </w:rPr>
        <w:t xml:space="preserve"> As propostas classificadas serão ordenadas pelo sistema e o pregoeiro dará início à fase competitiva, oportunidade em que os licitantes poderão encaminhar lances exclusivamente por meio do sistema eletrônico.</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9.6 </w:t>
      </w:r>
      <w:r>
        <w:rPr>
          <w:rFonts w:ascii="Times New Roman" w:hAnsi="Times New Roman" w:cs="Times New Roman" w:eastAsia="Times New Roman"/>
          <w:sz w:val="24"/>
        </w:rPr>
        <w:t>Somente poderão participar da fase competitiva os autores das propostas classificadas.</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9.7 </w:t>
      </w:r>
      <w:r>
        <w:rPr>
          <w:rFonts w:ascii="Times New Roman" w:hAnsi="Times New Roman" w:cs="Times New Roman" w:eastAsia="Times New Roman"/>
          <w:sz w:val="24"/>
          <w:color w:val="000000"/>
        </w:rPr>
        <w:t>Os licitantes poderão oferecer lances sucessivos e serão informados, em tempo real, do valor do menor lance registrado, vedada a identificação do seu autor, observando o horário fixado para duração da etapa competitiva</w:t>
      </w:r>
      <w:r>
        <w:rPr>
          <w:rFonts w:ascii="Times New Roman" w:hAnsi="Times New Roman" w:cs="Times New Roman" w:eastAsia="Times New Roman"/>
          <w:sz w:val="24"/>
        </w:rPr>
        <w:t>, e as seguintes regras:</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9.7.1</w:t>
      </w:r>
      <w:r>
        <w:rPr>
          <w:rFonts w:ascii="Times New Roman" w:hAnsi="Times New Roman" w:cs="Times New Roman" w:eastAsia="Times New Roman"/>
          <w:sz w:val="24"/>
        </w:rPr>
        <w:t xml:space="preserve"> O licitante será imediatamente informado do recebimento do lance e do valor consignado no registro.</w:t>
      </w:r>
    </w:p>
    <w:p>
      <w:pPr>
        <w:jc w:val="both"/>
        <w:widowControl/>
        <w:spacing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9.7.2 </w:t>
      </w:r>
      <w:r>
        <w:rPr>
          <w:rFonts w:ascii="Times New Roman" w:hAnsi="Times New Roman" w:cs="Times New Roman" w:eastAsia="Times New Roman"/>
          <w:sz w:val="24"/>
          <w:color w:val="000000"/>
        </w:rPr>
        <w:t>O licitante somente poderá oferecer valor inferior ao último lance por ele ofertado e registrado pelo sistema.</w:t>
      </w:r>
    </w:p>
    <w:p>
      <w:pPr>
        <w:jc w:val="both"/>
        <w:widowControl/>
        <w:spacing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9.7.3 </w:t>
      </w:r>
      <w:r>
        <w:rPr>
          <w:rFonts w:ascii="Times New Roman" w:hAnsi="Times New Roman" w:cs="Times New Roman" w:eastAsia="Times New Roman"/>
          <w:sz w:val="24"/>
          <w:color w:val="000000"/>
        </w:rPr>
        <w:t>Não serão aceitos dois ou mais lances iguais e prevalecerá aquele que for recebido e registrado primeiro.</w:t>
      </w:r>
    </w:p>
    <w:p>
      <w:pPr>
        <w:jc w:val="both"/>
        <w:widowControl/>
        <w:spacing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9.7.4 </w:t>
      </w:r>
      <w:r>
        <w:rPr>
          <w:rFonts w:ascii="Times New Roman" w:hAnsi="Times New Roman" w:cs="Times New Roman" w:eastAsia="Times New Roman"/>
          <w:sz w:val="24"/>
          <w:color w:val="000000"/>
        </w:rPr>
        <w:t>O intervalo mínimo de diferença de valores entre os lances será de 1 %, que incidirá tanto em relação aos lances intermediários, quanto em relação do lance que cobrir a melhor oferta.</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9.7.5 </w:t>
      </w:r>
      <w:r>
        <w:rPr>
          <w:rFonts w:ascii="Times New Roman" w:hAnsi="Times New Roman" w:cs="Times New Roman" w:eastAsia="Times New Roman"/>
          <w:sz w:val="24"/>
          <w:color w:val="000000"/>
        </w:rPr>
        <w:t>Serão considerados intermediários os lances iguais ou superiores ao menor já ofertado;</w:t>
      </w:r>
    </w:p>
    <w:p>
      <w:pPr>
        <w:jc w:val="both"/>
        <w:widowControl/>
        <w:spacing w:lineRule="auto" w:line="360"/>
        <w:rPr>
          <w:rFonts w:ascii="Times New Roman" w:hAnsi="Times New Roman" w:cs="Times New Roman" w:eastAsia="Times New Roman"/>
          <w:sz w:val="24"/>
          <w:color w:val="000000"/>
        </w:rPr>
      </w:pPr>
      <w:bookmarkStart w:id="24" w:name="art56_3ii"/>
      <w:bookmarkEnd w:id="24"/>
      <w:r>
        <w:rPr>
          <w:rFonts w:ascii="Times New Roman" w:hAnsi="Times New Roman" w:cs="Times New Roman" w:eastAsia="Times New Roman"/>
          <w:b/>
          <w:sz w:val="24"/>
          <w:color w:val="000000"/>
        </w:rPr>
        <w:t>9.7.6</w:t>
      </w:r>
      <w:r>
        <w:rPr>
          <w:rFonts w:ascii="Times New Roman" w:hAnsi="Times New Roman" w:cs="Times New Roman" w:eastAsia="Times New Roman"/>
          <w:sz w:val="24"/>
          <w:color w:val="000000"/>
        </w:rPr>
        <w:t xml:space="preserve"> Após a definição da melhor proposta, se a diferença em relação à proposta classificada em segundo lugar for de pelo menos 5% (cinco por cento), a Administração poderá admitir o reinício da disputa aberta, para a definição das demais colocações.</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9.8</w:t>
      </w:r>
      <w:r>
        <w:rPr>
          <w:rFonts w:ascii="Times New Roman" w:hAnsi="Times New Roman" w:cs="Times New Roman" w:eastAsia="Times New Roman"/>
          <w:sz w:val="24"/>
          <w:color w:val="000000"/>
        </w:rPr>
        <w:t xml:space="preserve"> A Administração poderá realizar diligências para aferir a exequibilidade das propostas ou exigir dos licitantes que ela seja demonstrada</w:t>
      </w:r>
    </w:p>
    <w:p>
      <w:pPr>
        <w:jc w:val="both"/>
        <w:widowControl/>
        <w:spacing w:lineRule="auto" w:line="360"/>
        <w:tabs>
          <w:tab w:val="left" w:pos="1134"/>
        </w:tabs>
        <w:rPr>
          <w:rFonts w:ascii="Times New Roman" w:hAnsi="Times New Roman" w:cs="Times New Roman" w:eastAsia="Times New Roman"/>
          <w:b/>
          <w:sz w:val="24"/>
          <w:color w:val="000000"/>
        </w:rPr>
      </w:pPr>
      <w:bookmarkStart w:id="25" w:name="art58_4"/>
      <w:bookmarkEnd w:id="25"/>
      <w:r>
        <w:rPr>
          <w:rFonts w:ascii="Times New Roman" w:hAnsi="Times New Roman" w:cs="Times New Roman" w:eastAsia="Times New Roman"/>
          <w:b/>
          <w:sz w:val="24"/>
          <w:color w:val="000000"/>
        </w:rPr>
        <w:t/>
      </w:r>
    </w:p>
    <w:p>
      <w:pPr>
        <w:jc w:val="both"/>
        <w:widowControl/>
        <w:spacing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10. MODO DE DISPUTA</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10.1. </w:t>
      </w:r>
      <w:r>
        <w:rPr>
          <w:rFonts w:ascii="Times New Roman" w:hAnsi="Times New Roman" w:cs="Times New Roman" w:eastAsia="Times New Roman"/>
          <w:sz w:val="24"/>
        </w:rPr>
        <w:t>Será adotado o modo de disputa aberto, em que os licitantes apresentarão lances públicos e sucessivos, observando as regras constantes no item 8.</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rPr>
        <w:t xml:space="preserve">9.2. </w:t>
      </w:r>
      <w:r>
        <w:rPr>
          <w:rFonts w:ascii="Times New Roman" w:hAnsi="Times New Roman" w:cs="Times New Roman" w:eastAsia="Times New Roman"/>
          <w:sz w:val="24"/>
        </w:rPr>
        <w:t xml:space="preserve">A etapa competitiva, de envio de lances na sessão pública, </w:t>
      </w:r>
      <w:r>
        <w:rPr>
          <w:rFonts w:ascii="Times New Roman" w:hAnsi="Times New Roman" w:cs="Times New Roman" w:eastAsia="Times New Roman"/>
          <w:sz w:val="24"/>
          <w:color w:val="000000"/>
        </w:rPr>
        <w:t>durará 10 (dez) minutos e, após isso, será prorrogada automaticamente pelo sistema quando houver lance ofertado nos últimos dois minutos do período de duração da sessão pública.</w:t>
      </w:r>
    </w:p>
    <w:p>
      <w:pPr>
        <w:jc w:val="both"/>
        <w:widowControl/>
        <w:spacing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rPr>
        <w:t xml:space="preserve">10.3. </w:t>
      </w:r>
      <w:r>
        <w:rPr>
          <w:rFonts w:ascii="Times New Roman" w:hAnsi="Times New Roman" w:cs="Times New Roman" w:eastAsia="Times New Roman"/>
          <w:sz w:val="24"/>
          <w:color w:val="000000"/>
        </w:rPr>
        <w:t>A prorrogação automática da etapa de envio de lances será de dois minutos e ocorrerá sucessivamente sempre que houver lances enviados nesse período de prorrogação, inclusive quando se tratar de lances intermediários.</w:t>
      </w:r>
    </w:p>
    <w:p>
      <w:pPr>
        <w:jc w:val="both"/>
        <w:widowControl/>
        <w:spacing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10.4. </w:t>
      </w:r>
      <w:r>
        <w:rPr>
          <w:rFonts w:ascii="Times New Roman" w:hAnsi="Times New Roman" w:cs="Times New Roman" w:eastAsia="Times New Roman"/>
          <w:sz w:val="24"/>
          <w:color w:val="000000"/>
        </w:rPr>
        <w:t>Na hipótese de não haver novos lances, a sessão pública será encerrada automaticamente.</w:t>
      </w:r>
    </w:p>
    <w:p>
      <w:pPr>
        <w:jc w:val="both"/>
        <w:widowControl/>
        <w:spacing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10.5.</w:t>
      </w:r>
      <w:r>
        <w:rPr>
          <w:rFonts w:ascii="Times New Roman" w:hAnsi="Times New Roman" w:cs="Times New Roman" w:eastAsia="Times New Roman"/>
          <w:sz w:val="24"/>
          <w:color w:val="000000"/>
        </w:rPr>
        <w:t xml:space="preserve"> Encerrada a sessão pública sem prorrogação automática pelo sistema, o pregoeiro poderá, assessorado pela equipe de apoio, admitir o reinício da etapa de envio de lances, em prol da consecução do melhor preço, mediante justificativa.</w:t>
      </w:r>
    </w:p>
    <w:p>
      <w:pPr>
        <w:jc w:val="both"/>
        <w:widowControl/>
        <w:spacing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rPr>
        <w:t xml:space="preserve">10.6. </w:t>
      </w:r>
      <w:r>
        <w:rPr>
          <w:rFonts w:ascii="Times New Roman" w:hAnsi="Times New Roman" w:cs="Times New Roman" w:eastAsia="Times New Roman"/>
          <w:sz w:val="24"/>
          <w:color w:val="000000"/>
        </w:rPr>
        <w:t>Na hipótese de o sistema eletrônico desconectar para o pregoeiro no decorrer da etapa de envio de lances da sessão pública e permanecer acessível aos licitantes, os lances continuarão sendo recebidos, sem prejuízo dos atos realizados.</w:t>
      </w:r>
    </w:p>
    <w:p>
      <w:pPr>
        <w:jc w:val="both"/>
        <w:widowControl/>
        <w:spacing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10.7. </w:t>
      </w:r>
      <w:r>
        <w:rPr>
          <w:rFonts w:ascii="Times New Roman" w:hAnsi="Times New Roman" w:cs="Times New Roman" w:eastAsia="Times New Roman"/>
          <w:sz w:val="24"/>
          <w:color w:val="000000"/>
        </w:rPr>
        <w:t xml:space="preserve">Quando a desconexão do sistema eletrônico para o pregoeiro persistir por tempo superior a 10 (dez) minutos, a sessão pública será suspensa e reiniciada somente decorridas 24 (vinte e quatro horas) após a comunicação do fato aos participantes, no sítio eletrônico </w:t>
      </w:r>
      <w:hyperlink r:id="hrId8">
        <w:r>
          <w:rPr>
            <w:rFonts w:ascii="Times New Roman" w:hAnsi="Times New Roman" w:cs="Times New Roman" w:eastAsia="Times New Roman"/>
            <w:u w:val="single"/>
            <w:sz w:val="24"/>
            <w:color w:val="0000FF"/>
          </w:rPr>
          <w:t>www.quatroirmaos.rs.gov.br</w:t>
        </w:r>
      </w:hyperlink>
      <w:r>
        <w:rPr>
          <w:rFonts w:ascii="Times New Roman" w:hAnsi="Times New Roman" w:cs="Times New Roman" w:eastAsia="Times New Roman"/>
          <w:sz w:val="24"/>
          <w:color w:val="000000"/>
        </w:rPr>
        <w:t>.</w:t>
      </w:r>
    </w:p>
    <w:p>
      <w:pPr>
        <w:jc w:val="both"/>
        <w:widowControl/>
        <w:spacing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widowControl/>
        <w:spacing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11. CRITÉRIOS DE DESEMPATE</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color w:val="000000"/>
        </w:rPr>
        <w:t xml:space="preserve">11.1. </w:t>
      </w:r>
      <w:r>
        <w:rPr>
          <w:rFonts w:ascii="Times New Roman" w:hAnsi="Times New Roman" w:cs="Times New Roman" w:eastAsia="Times New Roman"/>
          <w:sz w:val="24"/>
          <w:color w:val="000000"/>
        </w:rPr>
        <w:t xml:space="preserve">Encerrada etapa de envio de lances, será apurada a ocorrência de empate, nos termos dos arts. 44 e 45 da Lei Complementar nº 123/2006, </w:t>
      </w:r>
      <w:r>
        <w:rPr>
          <w:rFonts w:ascii="Times New Roman" w:hAnsi="Times New Roman" w:cs="Times New Roman" w:eastAsia="Times New Roman"/>
          <w:sz w:val="24"/>
        </w:rPr>
        <w:t>sendo assegurada, como critério do desempate, preferência de contratação para as beneficiárias que tiverem apresentado as declarações de que tratam os itens 3.2.3 e 3.2.4 deste Edital;</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color w:val="000000"/>
        </w:rPr>
        <w:t xml:space="preserve">11.1.2. </w:t>
      </w:r>
      <w:r>
        <w:rPr>
          <w:rFonts w:ascii="Times New Roman" w:hAnsi="Times New Roman" w:cs="Times New Roman" w:eastAsia="Times New Roman"/>
          <w:sz w:val="24"/>
        </w:rPr>
        <w:t>Entende-se como empate, para fins da Lei Complementar nº 123/2006, aquelas situações em que as propostas apresentadas pelas beneficiárias sejam iguais ou superiores em até 5% (cinco por cento) à proposta de menor valor.</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11.1.3. </w:t>
      </w:r>
      <w:r>
        <w:rPr>
          <w:rFonts w:ascii="Times New Roman" w:hAnsi="Times New Roman" w:cs="Times New Roman" w:eastAsia="Times New Roman"/>
          <w:sz w:val="24"/>
        </w:rPr>
        <w:t>Ocorrendo o empate, na forma do subitem anterior, proceder-se-á da seguinte forma:</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a) </w:t>
      </w:r>
      <w:r>
        <w:rPr>
          <w:rFonts w:ascii="Times New Roman" w:hAnsi="Times New Roman" w:cs="Times New Roman" w:eastAsia="Times New Roman"/>
          <w:sz w:val="24"/>
        </w:rPr>
        <w:t>A beneficiária detentora da proposta de menor valor será convocada via sistema para apresentar, no prazo de 5 (cinco) minutos, nova proposta, inferior àquela considerada, até então, de menor preço, situação em que será declarada vencedora do certame.</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b) </w:t>
      </w:r>
      <w:r>
        <w:rPr>
          <w:rFonts w:ascii="Times New Roman" w:hAnsi="Times New Roman" w:cs="Times New Roman" w:eastAsia="Times New Roman"/>
          <w:sz w:val="24"/>
        </w:rPr>
        <w:t>Se a beneficiária, convocada na forma da alínea anterior, não apresentar nova proposta, inferior à de menor preço, será facultada, pela ordem de classificação, às demais microempresas, empresas de pequeno porte ou cooperativas remanescentes, que se enquadrarem na hipótese do item 11.1. deste edital, a apresentação de nova proposta, no prazo previsto na alínea a deste item.</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11.1.4.</w:t>
      </w:r>
      <w:r>
        <w:rPr>
          <w:rFonts w:ascii="Times New Roman" w:hAnsi="Times New Roman" w:cs="Times New Roman" w:eastAsia="Times New Roman"/>
          <w:sz w:val="24"/>
        </w:rPr>
        <w:t xml:space="preserve"> O disposto no item 11.1.2. não se aplica às hipóteses em que a proposta de menor valor inicial tiver sido apresentado por beneficiária da Lei Complementar nº 123/2006.</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11.2. </w:t>
      </w:r>
      <w:r>
        <w:rPr>
          <w:rFonts w:ascii="Times New Roman" w:hAnsi="Times New Roman" w:cs="Times New Roman" w:eastAsia="Times New Roman"/>
          <w:sz w:val="24"/>
          <w:color w:val="000000"/>
        </w:rPr>
        <w:t>Se não houver licitante que atenda ao item 11.1 e seus subitens, serão utilizados os seguintes critérios de desempate, nesta ordem:</w:t>
      </w:r>
    </w:p>
    <w:p>
      <w:pPr>
        <w:jc w:val="both"/>
        <w:widowControl/>
        <w:spacing w:lineRule="auto" w:line="360"/>
        <w:rPr>
          <w:rFonts w:ascii="Times New Roman" w:hAnsi="Times New Roman" w:cs="Times New Roman" w:eastAsia="Times New Roman"/>
          <w:sz w:val="24"/>
          <w:color w:val="000000"/>
        </w:rPr>
      </w:pPr>
      <w:bookmarkStart w:id="26" w:name="art60i"/>
      <w:bookmarkEnd w:id="26"/>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disputa final, hipótese em que os licitantes empatados poderão apresentar nova proposta em ato contínuo à classificação;</w:t>
      </w:r>
    </w:p>
    <w:p>
      <w:pPr>
        <w:jc w:val="both"/>
        <w:widowControl/>
        <w:spacing w:lineRule="auto" w:line="360"/>
        <w:rPr>
          <w:rFonts w:ascii="Times New Roman" w:hAnsi="Times New Roman" w:cs="Times New Roman" w:eastAsia="Times New Roman"/>
          <w:sz w:val="24"/>
          <w:color w:val="000000"/>
        </w:rPr>
      </w:pPr>
      <w:bookmarkStart w:id="27" w:name="art60ii"/>
      <w:bookmarkEnd w:id="27"/>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avaliação do desempenho contratual prévio dos licitantes, para a qual serão ser utilizados registros cadastrais para efeito de atesto de cumprimento de obrigações decorrentes de outras contratações;</w:t>
      </w:r>
    </w:p>
    <w:p>
      <w:pPr>
        <w:jc w:val="both"/>
        <w:widowControl/>
        <w:spacing w:lineRule="auto" w:line="360"/>
        <w:rPr>
          <w:rFonts w:ascii="Times New Roman" w:hAnsi="Times New Roman" w:cs="Times New Roman" w:eastAsia="Times New Roman"/>
          <w:sz w:val="24"/>
          <w:color w:val="000000"/>
        </w:rPr>
      </w:pPr>
      <w:bookmarkStart w:id="28" w:name="art60iii"/>
      <w:bookmarkEnd w:id="28"/>
      <w:r>
        <w:rPr>
          <w:rFonts w:ascii="Times New Roman" w:hAnsi="Times New Roman" w:cs="Times New Roman" w:eastAsia="Times New Roman"/>
          <w:b/>
          <w:sz w:val="24"/>
          <w:color w:val="000000"/>
        </w:rPr>
        <w:t>c)</w:t>
      </w:r>
      <w:r>
        <w:rPr>
          <w:rFonts w:ascii="Times New Roman" w:hAnsi="Times New Roman" w:cs="Times New Roman" w:eastAsia="Times New Roman"/>
          <w:sz w:val="24"/>
          <w:color w:val="000000"/>
        </w:rPr>
        <w:t xml:space="preserve"> desenvolvimento pelo licitante de ações de equidade entre homens e mulheres no ambiente de trabalho, conforme regulamento;</w:t>
      </w:r>
    </w:p>
    <w:p>
      <w:pPr>
        <w:jc w:val="both"/>
        <w:widowControl/>
        <w:spacing w:lineRule="auto" w:line="360"/>
        <w:rPr>
          <w:rFonts w:ascii="Times New Roman" w:hAnsi="Times New Roman" w:cs="Times New Roman" w:eastAsia="Times New Roman"/>
          <w:sz w:val="24"/>
          <w:color w:val="000000"/>
        </w:rPr>
      </w:pPr>
      <w:bookmarkStart w:id="29" w:name="art60iv"/>
      <w:bookmarkEnd w:id="29"/>
      <w:r>
        <w:rPr>
          <w:rFonts w:ascii="Times New Roman" w:hAnsi="Times New Roman" w:cs="Times New Roman" w:eastAsia="Times New Roman"/>
          <w:b/>
          <w:sz w:val="24"/>
          <w:color w:val="000000"/>
        </w:rPr>
        <w:t>d)</w:t>
      </w:r>
      <w:r>
        <w:rPr>
          <w:rFonts w:ascii="Times New Roman" w:hAnsi="Times New Roman" w:cs="Times New Roman" w:eastAsia="Times New Roman"/>
          <w:sz w:val="24"/>
          <w:color w:val="000000"/>
        </w:rPr>
        <w:t xml:space="preserve"> desenvolvimento pelo licitante de programa de integridade, conforme orientações dos órgãos de controle.</w:t>
      </w:r>
    </w:p>
    <w:p>
      <w:pPr>
        <w:jc w:val="both"/>
        <w:widowControl/>
        <w:spacing w:lineRule="auto" w:line="360"/>
        <w:rPr>
          <w:rFonts w:ascii="Times New Roman" w:hAnsi="Times New Roman" w:cs="Times New Roman" w:eastAsia="Times New Roman"/>
          <w:sz w:val="24"/>
          <w:color w:val="000000"/>
        </w:rPr>
      </w:pPr>
      <w:bookmarkStart w:id="30" w:name="art60_1"/>
      <w:bookmarkEnd w:id="30"/>
      <w:r>
        <w:rPr>
          <w:rFonts w:ascii="Times New Roman" w:hAnsi="Times New Roman" w:cs="Times New Roman" w:eastAsia="Times New Roman"/>
          <w:b/>
          <w:sz w:val="24"/>
          <w:color w:val="000000"/>
        </w:rPr>
        <w:t>11.3</w:t>
      </w:r>
      <w:r>
        <w:rPr>
          <w:rFonts w:ascii="Times New Roman" w:hAnsi="Times New Roman" w:cs="Times New Roman" w:eastAsia="Times New Roman"/>
          <w:sz w:val="24"/>
          <w:color w:val="000000"/>
        </w:rPr>
        <w:t xml:space="preserve"> Em igualdade de condições, se não houver desempate, será assegurada preferência, sucessivamente, aos bens e serviços produzidos ou prestados por:</w:t>
      </w:r>
    </w:p>
    <w:p>
      <w:pPr>
        <w:jc w:val="both"/>
        <w:widowControl/>
        <w:spacing w:lineRule="auto" w:line="360"/>
        <w:rPr>
          <w:rFonts w:ascii="Times New Roman" w:hAnsi="Times New Roman" w:cs="Times New Roman" w:eastAsia="Times New Roman"/>
          <w:sz w:val="24"/>
          <w:color w:val="000000"/>
        </w:rPr>
      </w:pPr>
      <w:bookmarkStart w:id="31" w:name="art60_1i"/>
      <w:bookmarkEnd w:id="31"/>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empresas estabelecidas no território do Estado do Rio Grande do Sul;</w:t>
      </w:r>
    </w:p>
    <w:p>
      <w:pPr>
        <w:jc w:val="both"/>
        <w:widowControl/>
        <w:spacing w:lineRule="auto" w:line="360"/>
        <w:rPr>
          <w:rFonts w:ascii="Times New Roman" w:hAnsi="Times New Roman" w:cs="Times New Roman" w:eastAsia="Times New Roman"/>
          <w:sz w:val="24"/>
          <w:color w:val="000000"/>
        </w:rPr>
      </w:pPr>
      <w:bookmarkStart w:id="32" w:name="art60_1ii"/>
      <w:bookmarkEnd w:id="32"/>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empresas brasileiras;</w:t>
      </w:r>
    </w:p>
    <w:p>
      <w:pPr>
        <w:jc w:val="both"/>
        <w:widowControl/>
        <w:spacing w:lineRule="auto" w:line="360"/>
        <w:rPr>
          <w:rFonts w:ascii="Times New Roman" w:hAnsi="Times New Roman" w:cs="Times New Roman" w:eastAsia="Times New Roman"/>
          <w:sz w:val="24"/>
          <w:color w:val="000000"/>
        </w:rPr>
      </w:pPr>
      <w:bookmarkStart w:id="33" w:name="art60_1iii"/>
      <w:bookmarkEnd w:id="33"/>
      <w:r>
        <w:rPr>
          <w:rFonts w:ascii="Times New Roman" w:hAnsi="Times New Roman" w:cs="Times New Roman" w:eastAsia="Times New Roman"/>
          <w:b/>
          <w:sz w:val="24"/>
          <w:color w:val="000000"/>
        </w:rPr>
        <w:t>c)</w:t>
      </w:r>
      <w:r>
        <w:rPr>
          <w:rFonts w:ascii="Times New Roman" w:hAnsi="Times New Roman" w:cs="Times New Roman" w:eastAsia="Times New Roman"/>
          <w:sz w:val="24"/>
          <w:color w:val="000000"/>
        </w:rPr>
        <w:t xml:space="preserve"> empresas que invistam em pesquisa e no desenvolvimento de tecnologia no País;</w:t>
      </w:r>
    </w:p>
    <w:p>
      <w:pPr>
        <w:jc w:val="both"/>
        <w:widowControl/>
        <w:spacing w:lineRule="auto" w:line="360"/>
        <w:rPr>
          <w:rFonts w:ascii="Times New Roman" w:hAnsi="Times New Roman" w:cs="Times New Roman" w:eastAsia="Times New Roman"/>
          <w:u w:color="auto"/>
          <w:sz w:val="24"/>
          <w:color w:val="000000"/>
        </w:rPr>
      </w:pPr>
      <w:bookmarkStart w:id="34" w:name="art60_1iv"/>
      <w:bookmarkEnd w:id="34"/>
      <w:r>
        <w:rPr>
          <w:rFonts w:ascii="Times New Roman" w:hAnsi="Times New Roman" w:cs="Times New Roman" w:eastAsia="Times New Roman"/>
          <w:b/>
          <w:sz w:val="24"/>
          <w:color w:val="000000"/>
        </w:rPr>
        <w:t>e)</w:t>
      </w:r>
      <w:r>
        <w:rPr>
          <w:rFonts w:ascii="Times New Roman" w:hAnsi="Times New Roman" w:cs="Times New Roman" w:eastAsia="Times New Roman"/>
          <w:sz w:val="24"/>
          <w:color w:val="000000"/>
        </w:rPr>
        <w:t xml:space="preserve"> empresas que comprovem a prática de mitigação, nos termos da </w:t>
      </w:r>
      <w:hyperlink r:id="hrId9">
        <w:r>
          <w:rPr>
            <w:rFonts w:ascii="Times New Roman" w:hAnsi="Times New Roman" w:cs="Times New Roman" w:eastAsia="Times New Roman"/>
            <w:u w:color="auto"/>
            <w:sz w:val="24"/>
            <w:color w:val="000000"/>
          </w:rPr>
          <w:t>Lei nº 12.187, de 29 de dezembro de 2009.</w:t>
        </w:r>
      </w:hyperlink>
    </w:p>
    <w:p>
      <w:pPr>
        <w:jc w:val="both"/>
        <w:widowControl/>
        <w:spacing w:lineRule="auto" w:line="360"/>
        <w:tabs>
          <w:tab w:val="left" w:pos="1134"/>
        </w:tabs>
        <w:rPr>
          <w:rFonts w:ascii="Times New Roman" w:hAnsi="Times New Roman" w:cs="Times New Roman" w:eastAsia="Times New Roman"/>
          <w:b/>
          <w:sz w:val="24"/>
          <w:color w:val="000000"/>
        </w:rPr>
      </w:pPr>
      <w:r>
        <w:rPr>
          <w:rFonts w:ascii="Times New Roman" w:hAnsi="Times New Roman" w:cs="Times New Roman" w:eastAsia="Times New Roman"/>
          <w:b/>
          <w:sz w:val="24"/>
          <w:color w:val="000000"/>
        </w:rPr>
        <w:t/>
      </w:r>
    </w:p>
    <w:p>
      <w:pPr>
        <w:jc w:val="both"/>
        <w:widowControl/>
        <w:spacing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12. NEGOCIAÇÃO E JULGAMENTO</w:t>
      </w:r>
    </w:p>
    <w:p>
      <w:pPr>
        <w:jc w:val="both"/>
        <w:widowControl/>
        <w:spacing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rPr>
        <w:t xml:space="preserve">12.1. </w:t>
      </w:r>
      <w:r>
        <w:rPr>
          <w:rFonts w:ascii="Times New Roman" w:hAnsi="Times New Roman" w:cs="Times New Roman" w:eastAsia="Times New Roman"/>
          <w:sz w:val="24"/>
          <w:color w:val="000000"/>
        </w:rPr>
        <w:t>Encerrada a etapa de envio de lances da sessão pública, inclusive com a realização do desempate, se for o caso, o pregoeiro deverá encaminhar, pelo sistema eletrônico, contraproposta ao licitante que tenha apresentado o melhor preço, para que seja obtida melhor proposta.</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12.2. </w:t>
      </w:r>
      <w:r>
        <w:rPr>
          <w:rFonts w:ascii="Times New Roman" w:hAnsi="Times New Roman" w:cs="Times New Roman" w:eastAsia="Times New Roman"/>
          <w:sz w:val="24"/>
        </w:rPr>
        <w:t>A resposta à contraproposta e o envio de documentos complementares, necessários ao julgamento da aceitabilidade da proposta, inclusive a sua adequação ao último lance ofertado, que sejam solicitados pelo pregoeiro, deverão ser encaminhados no prazo fixado no item 3.3 deste Edital.</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12.3. </w:t>
      </w:r>
      <w:r>
        <w:rPr>
          <w:rFonts w:ascii="Times New Roman" w:hAnsi="Times New Roman" w:cs="Times New Roman" w:eastAsia="Times New Roman"/>
          <w:sz w:val="24"/>
          <w:color w:val="000000"/>
        </w:rPr>
        <w:t>Encerrada a etapa de negociação, será examinada a proposta classificada em primeiro lugar quanto à adequação ao objeto e à compatibilidade do preço em relação valor de referência da Administração.</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12.4. </w:t>
      </w:r>
      <w:r>
        <w:rPr>
          <w:rFonts w:ascii="Times New Roman" w:hAnsi="Times New Roman" w:cs="Times New Roman" w:eastAsia="Times New Roman"/>
          <w:sz w:val="24"/>
        </w:rPr>
        <w:t>Não serão consideradas, para julgamento das propostas, vantagens não previstas no edital.</w:t>
      </w:r>
    </w:p>
    <w:p>
      <w:pPr>
        <w:jc w:val="both"/>
        <w:widowControl/>
        <w:spacing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
      </w:r>
    </w:p>
    <w:p>
      <w:pPr>
        <w:jc w:val="both"/>
        <w:widowControl/>
        <w:spacing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13. VERIFICAÇÃO DA HABILITAÇÃO</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13.1. </w:t>
      </w:r>
      <w:r>
        <w:rPr>
          <w:rFonts w:ascii="Times New Roman" w:hAnsi="Times New Roman" w:cs="Times New Roman" w:eastAsia="Times New Roman"/>
          <w:sz w:val="24"/>
          <w:color w:val="000000"/>
        </w:rPr>
        <w:t>Os documentos de habilitação, de que tratam os itens 5.1., 5.2. e 5.3., enviados nos termos do item 3.1, todos deste edital, serão examinados pelo pregoeiro, que verificará a autenticidade das certidões junto aos sítios eletrônicos oficiais de órgãos e entidades emissores.</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13.2.</w:t>
      </w:r>
      <w:r>
        <w:rPr>
          <w:rFonts w:ascii="Times New Roman" w:hAnsi="Times New Roman" w:cs="Times New Roman" w:eastAsia="Times New Roman"/>
          <w:sz w:val="24"/>
        </w:rPr>
        <w:t xml:space="preserve"> As certidões apresentadas na habilitação, que tenham sido expedidas em meio eletrônico, serão tidas como originais após terem a autenticidade de seus dados e certificação digital conferidos pela Administração, dispensando nova apresentação, exceto se vencido o prazo de validade.</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rPr>
        <w:t>13.3.</w:t>
      </w:r>
      <w:r>
        <w:rPr>
          <w:rFonts w:ascii="Times New Roman" w:hAnsi="Times New Roman" w:cs="Times New Roman" w:eastAsia="Times New Roman"/>
          <w:sz w:val="24"/>
        </w:rPr>
        <w:t xml:space="preserve"> </w:t>
      </w:r>
      <w:r>
        <w:rPr>
          <w:rFonts w:ascii="Times New Roman" w:hAnsi="Times New Roman" w:cs="Times New Roman" w:eastAsia="Times New Roman"/>
          <w:sz w:val="24"/>
          <w:color w:val="000000"/>
        </w:rPr>
        <w:t>A prova de autenticidade de cópia de documento público ou particular poderá ser feita perante agente da Administração, mediante apresentação de original ou de declaração de autenticidade por advogado, sob sua responsabilidade pessoal.</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color w:val="000000"/>
        </w:rPr>
        <w:t xml:space="preserve">13.4. </w:t>
      </w:r>
      <w:r>
        <w:rPr>
          <w:rFonts w:ascii="Times New Roman" w:hAnsi="Times New Roman" w:cs="Times New Roman" w:eastAsia="Times New Roman"/>
          <w:sz w:val="24"/>
          <w:color w:val="000000"/>
        </w:rPr>
        <w:t xml:space="preserve">A beneficiária da Lei Complementar nº 123/2006, que tenha apresentado a declaração exigida no item 3.2.3 e 3.2.4 deste Edital e que possua alguma restrição na comprovação de regularidade fiscal e/ou trabalhista, </w:t>
      </w:r>
      <w:r>
        <w:rPr>
          <w:rFonts w:ascii="Times New Roman" w:hAnsi="Times New Roman" w:cs="Times New Roman" w:eastAsia="Times New Roman"/>
          <w:sz w:val="24"/>
        </w:rPr>
        <w:t>terá sua habilitação condicionada ao envio de nova documentação, que comprove a sua regularidade, em 5 (cinco) dias úteis, prazo que poderá ser prorrogado uma única vez, por igual período, a critério da Administração, desde que seja requerido pelo interessado, de forma motivada e durante o transcurso do respectivo prazo.</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13.5.</w:t>
      </w:r>
      <w:r>
        <w:rPr>
          <w:rFonts w:ascii="Times New Roman" w:hAnsi="Times New Roman" w:cs="Times New Roman" w:eastAsia="Times New Roman"/>
          <w:sz w:val="24"/>
          <w:color w:val="000000"/>
        </w:rPr>
        <w:t xml:space="preserve"> Na hipótese de a proposta vencedora não for aceitável ou o licitante não atender às exigências para habilitação, o pregoeiro examinará a proposta subsequente e assim sucessivamente, na ordem de classificação, até a apuração de uma proposta que atenda ao edital.</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13.6. </w:t>
      </w:r>
      <w:r>
        <w:rPr>
          <w:rFonts w:ascii="Times New Roman" w:hAnsi="Times New Roman" w:cs="Times New Roman" w:eastAsia="Times New Roman"/>
          <w:sz w:val="24"/>
          <w:color w:val="000000"/>
        </w:rPr>
        <w:t>Constatado o atendimento às exigências estabelecidas no Edital, o licitante será declarado vencedor, oportunizando-se a manifestação da intenção de recurso.</w:t>
      </w:r>
    </w:p>
    <w:p>
      <w:pPr>
        <w:jc w:val="both"/>
        <w:widowControl/>
        <w:spacing w:lineRule="auto" w:line="360"/>
        <w:tabs>
          <w:tab w:val="left" w:pos="1134"/>
        </w:tabs>
        <w:rPr>
          <w:rFonts w:ascii="Times New Roman" w:hAnsi="Times New Roman" w:cs="Times New Roman" w:eastAsia="Times New Roman"/>
          <w:b/>
          <w:sz w:val="24"/>
          <w:color w:val="000000"/>
        </w:rPr>
      </w:pPr>
      <w:r>
        <w:rPr>
          <w:rFonts w:ascii="Times New Roman" w:hAnsi="Times New Roman" w:cs="Times New Roman" w:eastAsia="Times New Roman"/>
          <w:b/>
          <w:sz w:val="24"/>
          <w:color w:val="000000"/>
        </w:rPr>
        <w:t/>
      </w:r>
    </w:p>
    <w:p>
      <w:pPr>
        <w:jc w:val="both"/>
        <w:widowControl/>
        <w:spacing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14. RECURSO</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rPr>
        <w:t xml:space="preserve">14.1. </w:t>
      </w:r>
      <w:r>
        <w:rPr>
          <w:rFonts w:ascii="Times New Roman" w:hAnsi="Times New Roman" w:cs="Times New Roman" w:eastAsia="Times New Roman"/>
          <w:sz w:val="24"/>
        </w:rPr>
        <w:t xml:space="preserve">Caberá recurso, </w:t>
      </w:r>
      <w:r>
        <w:rPr>
          <w:rFonts w:ascii="Times New Roman" w:hAnsi="Times New Roman" w:cs="Times New Roman" w:eastAsia="Times New Roman"/>
          <w:sz w:val="24"/>
          <w:color w:val="000000"/>
        </w:rPr>
        <w:t>no prazo de 3 (três) dias úteis, contado da data de intimação ou de lavratura da ata, em face de:</w:t>
      </w:r>
    </w:p>
    <w:p>
      <w:pPr>
        <w:jc w:val="both"/>
        <w:widowControl/>
        <w:spacing w:lineRule="auto" w:line="360"/>
        <w:rPr>
          <w:rFonts w:ascii="Times New Roman" w:hAnsi="Times New Roman" w:cs="Times New Roman" w:eastAsia="Times New Roman"/>
          <w:sz w:val="24"/>
          <w:color w:val="000000"/>
        </w:rPr>
      </w:pPr>
      <w:bookmarkStart w:id="35" w:name="art165ia"/>
      <w:bookmarkEnd w:id="35"/>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ato que defira ou indefira pedido de pré-qualificação de interessado ou de inscrição em registro cadastral, sua alteração ou cancelamento;</w:t>
      </w:r>
    </w:p>
    <w:p>
      <w:pPr>
        <w:jc w:val="both"/>
        <w:widowControl/>
        <w:spacing w:lineRule="auto" w:line="360"/>
        <w:rPr>
          <w:rFonts w:ascii="Times New Roman" w:hAnsi="Times New Roman" w:cs="Times New Roman" w:eastAsia="Times New Roman"/>
          <w:sz w:val="24"/>
          <w:color w:val="000000"/>
        </w:rPr>
      </w:pPr>
      <w:bookmarkStart w:id="36" w:name="art165ib"/>
      <w:bookmarkEnd w:id="36"/>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julgamento das propostas;</w:t>
      </w:r>
    </w:p>
    <w:p>
      <w:pPr>
        <w:jc w:val="both"/>
        <w:widowControl/>
        <w:spacing w:lineRule="auto" w:line="360"/>
        <w:rPr>
          <w:rFonts w:ascii="Times New Roman" w:hAnsi="Times New Roman" w:cs="Times New Roman" w:eastAsia="Times New Roman"/>
          <w:sz w:val="24"/>
          <w:color w:val="000000"/>
        </w:rPr>
      </w:pPr>
      <w:bookmarkStart w:id="37" w:name="art165ic"/>
      <w:bookmarkEnd w:id="37"/>
      <w:r>
        <w:rPr>
          <w:rFonts w:ascii="Times New Roman" w:hAnsi="Times New Roman" w:cs="Times New Roman" w:eastAsia="Times New Roman"/>
          <w:b/>
          <w:sz w:val="24"/>
          <w:color w:val="000000"/>
        </w:rPr>
        <w:t>c)</w:t>
      </w:r>
      <w:r>
        <w:rPr>
          <w:rFonts w:ascii="Times New Roman" w:hAnsi="Times New Roman" w:cs="Times New Roman" w:eastAsia="Times New Roman"/>
          <w:sz w:val="24"/>
          <w:color w:val="000000"/>
        </w:rPr>
        <w:t xml:space="preserve"> ato de habilitação ou inabilitação de licitante;</w:t>
      </w:r>
    </w:p>
    <w:p>
      <w:pPr>
        <w:jc w:val="both"/>
        <w:widowControl/>
        <w:spacing w:lineRule="auto" w:line="360"/>
        <w:rPr>
          <w:rFonts w:ascii="Times New Roman" w:hAnsi="Times New Roman" w:cs="Times New Roman" w:eastAsia="Times New Roman"/>
          <w:sz w:val="24"/>
          <w:color w:val="000000"/>
        </w:rPr>
      </w:pPr>
      <w:bookmarkStart w:id="38" w:name="art165id"/>
      <w:bookmarkEnd w:id="38"/>
      <w:r>
        <w:rPr>
          <w:rFonts w:ascii="Times New Roman" w:hAnsi="Times New Roman" w:cs="Times New Roman" w:eastAsia="Times New Roman"/>
          <w:b/>
          <w:sz w:val="24"/>
          <w:color w:val="000000"/>
        </w:rPr>
        <w:t>d)</w:t>
      </w:r>
      <w:r>
        <w:rPr>
          <w:rFonts w:ascii="Times New Roman" w:hAnsi="Times New Roman" w:cs="Times New Roman" w:eastAsia="Times New Roman"/>
          <w:sz w:val="24"/>
          <w:color w:val="000000"/>
        </w:rPr>
        <w:t xml:space="preserve"> anulação ou revogação da licitação.</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14.2.</w:t>
      </w:r>
      <w:r>
        <w:rPr>
          <w:rFonts w:ascii="Times New Roman" w:hAnsi="Times New Roman" w:cs="Times New Roman" w:eastAsia="Times New Roman"/>
          <w:sz w:val="24"/>
          <w:color w:val="000000"/>
        </w:rPr>
        <w:t xml:space="preserve"> O prazo para apresentação de contrarrazões será o mesmo do recurso e terá início na data de intimação pessoal ou de divulgação da interposição do recurso.</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14.3.</w:t>
      </w:r>
      <w:r>
        <w:rPr>
          <w:rFonts w:ascii="Times New Roman" w:hAnsi="Times New Roman" w:cs="Times New Roman" w:eastAsia="Times New Roman"/>
          <w:sz w:val="24"/>
          <w:color w:val="000000"/>
        </w:rPr>
        <w:t xml:space="preserve"> Quanto ao recurso apresentado em virtude do disposto nas alíneas “b” e “c” do item 14.1 do presente Edital, serão observadas as seguintes disposições:</w:t>
      </w:r>
    </w:p>
    <w:p>
      <w:pPr>
        <w:jc w:val="both"/>
        <w:widowControl/>
        <w:spacing w:lineRule="auto" w:line="360"/>
        <w:rPr>
          <w:rFonts w:ascii="Times New Roman" w:hAnsi="Times New Roman" w:cs="Times New Roman" w:eastAsia="Times New Roman"/>
          <w:sz w:val="24"/>
          <w:color w:val="000000"/>
        </w:rPr>
      </w:pPr>
      <w:bookmarkStart w:id="39" w:name="art165_1i"/>
      <w:bookmarkEnd w:id="39"/>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a intenção de recorrer deverá ser manifestada imediatamente, sob pena de preclusão, e o prazo para apresentação das razões recursais será iniciado na data de intimação ou de lavratura da ata de habilitação ou inabilitação;</w:t>
      </w:r>
    </w:p>
    <w:p>
      <w:pPr>
        <w:jc w:val="both"/>
        <w:widowControl/>
        <w:spacing w:lineRule="auto" w:line="360"/>
        <w:rPr>
          <w:rFonts w:ascii="Times New Roman" w:hAnsi="Times New Roman" w:cs="Times New Roman" w:eastAsia="Times New Roman"/>
          <w:sz w:val="24"/>
          <w:color w:val="000000"/>
        </w:rPr>
      </w:pPr>
      <w:bookmarkStart w:id="40" w:name="art165_1ii"/>
      <w:bookmarkEnd w:id="40"/>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a apreciação dar-se-á em fase única.</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14.4.</w:t>
      </w:r>
      <w:r>
        <w:rPr>
          <w:rFonts w:ascii="Times New Roman" w:hAnsi="Times New Roman" w:cs="Times New Roman" w:eastAsia="Times New Roman"/>
          <w:sz w:val="24"/>
          <w:color w:val="000000"/>
        </w:rPr>
        <w:t xml:space="preserve"> O recurso será dirigido à autoridade que tiver editado o ato ou proferido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14.5.</w:t>
      </w:r>
      <w:r>
        <w:rPr>
          <w:rFonts w:ascii="Times New Roman" w:hAnsi="Times New Roman" w:cs="Times New Roman" w:eastAsia="Times New Roman"/>
          <w:sz w:val="24"/>
          <w:color w:val="000000"/>
        </w:rPr>
        <w:t xml:space="preserve"> O acolhimento do recurso implicará invalidação apenas de ato insuscetível de aproveitamento.</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14.6.</w:t>
      </w:r>
      <w:r>
        <w:rPr>
          <w:rFonts w:ascii="Times New Roman" w:hAnsi="Times New Roman" w:cs="Times New Roman" w:eastAsia="Times New Roman"/>
          <w:sz w:val="24"/>
          <w:color w:val="000000"/>
        </w:rPr>
        <w:t xml:space="preserve"> O recurso interposto dará efeito suspensivo ao ato ou à decisão recorrida, até que sobrevenha decisão final da autoridade competente.</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widowControl/>
        <w:spacing w:lineRule="auto" w:line="360"/>
        <w:tabs>
          <w:tab w:val="left" w:pos="1134"/>
        </w:tabs>
        <w:rPr>
          <w:rFonts w:ascii="Times New Roman" w:hAnsi="Times New Roman" w:cs="Times New Roman" w:eastAsia="Times New Roman"/>
          <w:b/>
          <w:sz w:val="24"/>
        </w:rPr>
      </w:pPr>
      <w:bookmarkStart w:id="41" w:name="art165ie"/>
      <w:bookmarkEnd w:id="41"/>
      <w:r>
        <w:rPr>
          <w:rFonts w:ascii="Times New Roman" w:hAnsi="Times New Roman" w:cs="Times New Roman" w:eastAsia="Times New Roman"/>
          <w:b/>
          <w:sz w:val="24"/>
        </w:rPr>
        <w:t>15. ENCERRAMENTO DA LICITAÇÃO</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15.1.</w:t>
      </w:r>
      <w:r>
        <w:rPr>
          <w:rFonts w:ascii="Times New Roman" w:hAnsi="Times New Roman" w:cs="Times New Roman" w:eastAsia="Times New Roman"/>
          <w:sz w:val="24"/>
          <w:color w:val="000000"/>
        </w:rPr>
        <w:t xml:space="preserve"> Encerradas as fases de julgamento e habilitação, e exauridos os recursos administrativos, o processo licitatório será encaminhado à autoridade superior, que poderá:</w:t>
      </w:r>
    </w:p>
    <w:p>
      <w:pPr>
        <w:jc w:val="both"/>
        <w:widowControl/>
        <w:spacing w:lineRule="auto" w:line="360"/>
        <w:rPr>
          <w:rFonts w:ascii="Times New Roman" w:hAnsi="Times New Roman" w:cs="Times New Roman" w:eastAsia="Times New Roman"/>
          <w:sz w:val="24"/>
          <w:color w:val="000000"/>
        </w:rPr>
      </w:pPr>
      <w:bookmarkStart w:id="42" w:name="art71i"/>
      <w:bookmarkEnd w:id="42"/>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determinar o retorno dos autos para saneamento de irregularidades;</w:t>
      </w:r>
    </w:p>
    <w:p>
      <w:pPr>
        <w:jc w:val="both"/>
        <w:widowControl/>
        <w:spacing w:lineRule="auto" w:line="360"/>
        <w:rPr>
          <w:rFonts w:ascii="Times New Roman" w:hAnsi="Times New Roman" w:cs="Times New Roman" w:eastAsia="Times New Roman"/>
          <w:sz w:val="24"/>
          <w:color w:val="000000"/>
        </w:rPr>
      </w:pPr>
      <w:bookmarkStart w:id="43" w:name="art71ii"/>
      <w:bookmarkEnd w:id="43"/>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revogar a licitação por motivo de conveniência e oportunidade;</w:t>
      </w:r>
    </w:p>
    <w:p>
      <w:pPr>
        <w:jc w:val="both"/>
        <w:widowControl/>
        <w:spacing w:lineRule="auto" w:line="360"/>
        <w:rPr>
          <w:rFonts w:ascii="Times New Roman" w:hAnsi="Times New Roman" w:cs="Times New Roman" w:eastAsia="Times New Roman"/>
          <w:sz w:val="24"/>
          <w:color w:val="000000"/>
        </w:rPr>
      </w:pPr>
      <w:bookmarkStart w:id="44" w:name="art71iii"/>
      <w:bookmarkEnd w:id="44"/>
      <w:r>
        <w:rPr>
          <w:rFonts w:ascii="Times New Roman" w:hAnsi="Times New Roman" w:cs="Times New Roman" w:eastAsia="Times New Roman"/>
          <w:b/>
          <w:sz w:val="24"/>
          <w:color w:val="000000"/>
        </w:rPr>
        <w:t>c)</w:t>
      </w:r>
      <w:r>
        <w:rPr>
          <w:rFonts w:ascii="Times New Roman" w:hAnsi="Times New Roman" w:cs="Times New Roman" w:eastAsia="Times New Roman"/>
          <w:sz w:val="24"/>
          <w:color w:val="000000"/>
        </w:rPr>
        <w:t xml:space="preserve"> proceder à anulação da licitação, de ofício ou mediante provocação de terceiros, sempre que presente ilegalidade insanável;</w:t>
      </w:r>
    </w:p>
    <w:p>
      <w:pPr>
        <w:jc w:val="both"/>
        <w:widowControl/>
        <w:spacing w:lineRule="auto" w:line="360"/>
        <w:rPr>
          <w:rFonts w:ascii="Times New Roman" w:hAnsi="Times New Roman" w:cs="Times New Roman" w:eastAsia="Times New Roman"/>
          <w:sz w:val="24"/>
          <w:color w:val="000000"/>
        </w:rPr>
      </w:pPr>
      <w:bookmarkStart w:id="45" w:name="art71iv"/>
      <w:bookmarkEnd w:id="45"/>
      <w:r>
        <w:rPr>
          <w:rFonts w:ascii="Times New Roman" w:hAnsi="Times New Roman" w:cs="Times New Roman" w:eastAsia="Times New Roman"/>
          <w:b/>
          <w:sz w:val="24"/>
          <w:color w:val="000000"/>
        </w:rPr>
        <w:t>d)</w:t>
      </w:r>
      <w:r>
        <w:rPr>
          <w:rFonts w:ascii="Times New Roman" w:hAnsi="Times New Roman" w:cs="Times New Roman" w:eastAsia="Times New Roman"/>
          <w:sz w:val="24"/>
          <w:color w:val="000000"/>
        </w:rPr>
        <w:t xml:space="preserve"> adjudicar o objeto e homologar a licitação.</w:t>
      </w:r>
    </w:p>
    <w:p>
      <w:pPr>
        <w:jc w:val="both"/>
        <w:widowControl/>
        <w:spacing w:lineRule="auto" w:line="360"/>
        <w:tabs>
          <w:tab w:val="left" w:pos="1134"/>
        </w:tabs>
        <w:rPr>
          <w:rFonts w:ascii="Times New Roman" w:hAnsi="Times New Roman" w:cs="Times New Roman" w:eastAsia="Times New Roman"/>
          <w:b/>
          <w:sz w:val="24"/>
          <w:color w:val="000000"/>
        </w:rPr>
      </w:pPr>
      <w:bookmarkStart w:id="46" w:name="art71_1"/>
      <w:bookmarkEnd w:id="46"/>
      <w:r>
        <w:rPr>
          <w:rFonts w:ascii="Times New Roman" w:hAnsi="Times New Roman" w:cs="Times New Roman" w:eastAsia="Times New Roman"/>
          <w:b/>
          <w:sz w:val="24"/>
          <w:color w:val="000000"/>
        </w:rPr>
        <w:t/>
      </w:r>
    </w:p>
    <w:p>
      <w:pPr>
        <w:jc w:val="both"/>
        <w:widowControl/>
        <w:spacing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16. CONDIÇÕES DE CONTRATAÇÃO</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16.1.</w:t>
      </w:r>
      <w:r>
        <w:rPr>
          <w:rFonts w:ascii="Times New Roman" w:hAnsi="Times New Roman" w:cs="Times New Roman" w:eastAsia="Times New Roman"/>
          <w:sz w:val="24"/>
          <w:color w:val="000000"/>
        </w:rPr>
        <w:t xml:space="preserve"> O licitante vencedor será convocado para assinar o termo de contrato ou para aceitar ou retirar o instrumento equivalente, dentro do prazo de 5 dias úteis, sob pena de decair o direito à contratação, sem prejuízo das sanções previstas neste Edital.</w:t>
      </w:r>
    </w:p>
    <w:p>
      <w:pPr>
        <w:jc w:val="both"/>
        <w:widowControl/>
        <w:spacing w:lineRule="auto" w:line="360"/>
        <w:rPr>
          <w:rFonts w:ascii="Times New Roman" w:hAnsi="Times New Roman" w:cs="Times New Roman" w:eastAsia="Times New Roman"/>
          <w:sz w:val="24"/>
          <w:color w:val="000000"/>
        </w:rPr>
      </w:pPr>
      <w:bookmarkStart w:id="47" w:name="art90_1"/>
      <w:bookmarkEnd w:id="47"/>
      <w:r>
        <w:rPr>
          <w:rFonts w:ascii="Times New Roman" w:hAnsi="Times New Roman" w:cs="Times New Roman" w:eastAsia="Times New Roman"/>
          <w:b/>
          <w:sz w:val="24"/>
          <w:color w:val="000000"/>
        </w:rPr>
        <w:t>16.2.</w:t>
      </w:r>
      <w:r>
        <w:rPr>
          <w:rFonts w:ascii="Times New Roman" w:hAnsi="Times New Roman" w:cs="Times New Roman" w:eastAsia="Times New Roman"/>
          <w:sz w:val="24"/>
          <w:color w:val="000000"/>
        </w:rPr>
        <w:t xml:space="preserve"> O prazo de convocação poderá ser prorrogado 1 (uma) vez, por igual período, mediante solicitação da parte, durante seu transcurso, devidamente justificada, e desde que o motivo apresentado seja aceito pela Administração.</w:t>
      </w:r>
    </w:p>
    <w:p>
      <w:pPr>
        <w:jc w:val="both"/>
        <w:widowControl/>
        <w:spacing w:lineRule="auto" w:line="360"/>
        <w:rPr>
          <w:rFonts w:ascii="Times New Roman" w:hAnsi="Times New Roman" w:cs="Times New Roman" w:eastAsia="Times New Roman"/>
          <w:sz w:val="24"/>
          <w:color w:val="000000"/>
        </w:rPr>
      </w:pPr>
      <w:bookmarkStart w:id="48" w:name="art90_2"/>
      <w:bookmarkEnd w:id="48"/>
      <w:r>
        <w:rPr>
          <w:rFonts w:ascii="Times New Roman" w:hAnsi="Times New Roman" w:cs="Times New Roman" w:eastAsia="Times New Roman"/>
          <w:b/>
          <w:sz w:val="24"/>
          <w:color w:val="000000"/>
        </w:rPr>
        <w:t>16.3.</w:t>
      </w:r>
      <w:r>
        <w:rPr>
          <w:rFonts w:ascii="Times New Roman" w:hAnsi="Times New Roman" w:cs="Times New Roman" w:eastAsia="Times New Roman"/>
          <w:sz w:val="24"/>
          <w:color w:val="000000"/>
        </w:rPr>
        <w:t xml:space="preserve"> Será facultado à Administração, quando o convocado não assinar o termo de contrato ou não aceitar ou não retirar o instrumento equivalente no prazo e nas condições estabelecidas neste Edital, convocar os licitantes remanescentes, na ordem de classificação, para a celebração do contrato nas condições propostas pelo licitante vencedor.</w:t>
      </w:r>
    </w:p>
    <w:p>
      <w:pPr>
        <w:jc w:val="both"/>
        <w:widowControl/>
        <w:spacing w:lineRule="auto" w:line="360"/>
        <w:rPr>
          <w:rFonts w:ascii="Times New Roman" w:hAnsi="Times New Roman" w:cs="Times New Roman" w:eastAsia="Times New Roman"/>
          <w:sz w:val="24"/>
          <w:color w:val="000000"/>
        </w:rPr>
      </w:pPr>
      <w:bookmarkStart w:id="49" w:name="art90_3"/>
      <w:bookmarkEnd w:id="49"/>
      <w:r>
        <w:rPr>
          <w:rFonts w:ascii="Times New Roman" w:hAnsi="Times New Roman" w:cs="Times New Roman" w:eastAsia="Times New Roman"/>
          <w:b/>
          <w:sz w:val="24"/>
          <w:color w:val="000000"/>
        </w:rPr>
        <w:t>16.4.</w:t>
      </w:r>
      <w:r>
        <w:rPr>
          <w:rFonts w:ascii="Times New Roman" w:hAnsi="Times New Roman" w:cs="Times New Roman" w:eastAsia="Times New Roman"/>
          <w:sz w:val="24"/>
          <w:color w:val="000000"/>
        </w:rPr>
        <w:t xml:space="preserve"> Decorrido o prazo de validade da proposta indicado no item 4.1 deste Edital, sem convocação para a contratação, ficarão os licitantes liberados dos compromissos assumidos.</w:t>
      </w:r>
    </w:p>
    <w:p>
      <w:pPr>
        <w:jc w:val="both"/>
        <w:widowControl/>
        <w:spacing w:lineRule="auto" w:line="360"/>
        <w:rPr>
          <w:rFonts w:ascii="Times New Roman" w:hAnsi="Times New Roman" w:cs="Times New Roman" w:eastAsia="Times New Roman"/>
          <w:sz w:val="24"/>
          <w:color w:val="000000"/>
        </w:rPr>
      </w:pPr>
      <w:bookmarkStart w:id="50" w:name="art90_4"/>
      <w:bookmarkEnd w:id="50"/>
      <w:r>
        <w:rPr>
          <w:rFonts w:ascii="Times New Roman" w:hAnsi="Times New Roman" w:cs="Times New Roman" w:eastAsia="Times New Roman"/>
          <w:b/>
          <w:sz w:val="24"/>
          <w:color w:val="000000"/>
        </w:rPr>
        <w:t>16.5.</w:t>
      </w:r>
      <w:r>
        <w:rPr>
          <w:rFonts w:ascii="Times New Roman" w:hAnsi="Times New Roman" w:cs="Times New Roman" w:eastAsia="Times New Roman"/>
          <w:sz w:val="24"/>
          <w:color w:val="000000"/>
        </w:rPr>
        <w:t xml:space="preserve"> Na hipótese de nenhum dos licitantes aceitar a contratação, nos termos do 16.3 deste Edital, a Administração, observados o valor estimado e sua eventual atualização nos termos do edital, poderá:</w:t>
      </w:r>
    </w:p>
    <w:p>
      <w:pPr>
        <w:jc w:val="both"/>
        <w:widowControl/>
        <w:spacing w:lineRule="auto" w:line="360"/>
        <w:rPr>
          <w:rFonts w:ascii="Times New Roman" w:hAnsi="Times New Roman" w:cs="Times New Roman" w:eastAsia="Times New Roman"/>
          <w:sz w:val="24"/>
          <w:color w:val="000000"/>
        </w:rPr>
      </w:pPr>
      <w:bookmarkStart w:id="51" w:name="art90_4i"/>
      <w:bookmarkEnd w:id="51"/>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convocar os licitantes remanescentes para negociação, na ordem de classificação, com vistas à obtenção de preço melhor, mesmo que acima do preço do adjudicatário;</w:t>
      </w:r>
    </w:p>
    <w:p>
      <w:pPr>
        <w:jc w:val="both"/>
        <w:widowControl/>
        <w:spacing w:lineRule="auto" w:line="360"/>
        <w:rPr>
          <w:rFonts w:ascii="Times New Roman" w:hAnsi="Times New Roman" w:cs="Times New Roman" w:eastAsia="Times New Roman"/>
          <w:sz w:val="24"/>
          <w:color w:val="000000"/>
        </w:rPr>
      </w:pPr>
      <w:bookmarkStart w:id="52" w:name="art90_4ii"/>
      <w:bookmarkEnd w:id="52"/>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adjudicar e celebrar o contrato nas condições ofertadas pelos licitantes remanescentes, atendida a ordem classificatória, quando frustrada a negociação de melhor condição.</w:t>
      </w:r>
    </w:p>
    <w:p>
      <w:pPr>
        <w:jc w:val="both"/>
        <w:widowControl/>
        <w:spacing w:lineRule="auto" w:line="360"/>
        <w:rPr>
          <w:rFonts w:ascii="Times New Roman" w:hAnsi="Times New Roman" w:cs="Times New Roman" w:eastAsia="Times New Roman"/>
          <w:sz w:val="24"/>
          <w:color w:val="000000"/>
        </w:rPr>
      </w:pPr>
      <w:bookmarkStart w:id="53" w:name="art90_5"/>
      <w:bookmarkEnd w:id="53"/>
      <w:r>
        <w:rPr>
          <w:rFonts w:ascii="Times New Roman" w:hAnsi="Times New Roman" w:cs="Times New Roman" w:eastAsia="Times New Roman"/>
          <w:b/>
          <w:sz w:val="24"/>
          <w:color w:val="000000"/>
        </w:rPr>
        <w:t>16.6.</w:t>
      </w:r>
      <w:r>
        <w:rPr>
          <w:rFonts w:ascii="Times New Roman" w:hAnsi="Times New Roman" w:cs="Times New Roman" w:eastAsia="Times New Roman"/>
          <w:sz w:val="24"/>
          <w:color w:val="000000"/>
        </w:rPr>
        <w:t xml:space="preserve"> A recusa injustificada do adjudicatário em assinar o contrato ou em aceitar ou retirar o instrumento equivalente no prazo estabelecido pela Administração caracterizará o descumprimento total da obrigação assumida e o sujeitará às penalidades legalmente estabelecidas, previstas neste edital, e à imediata perda da garantia de proposta em favor do órgão licitante.</w:t>
      </w:r>
    </w:p>
    <w:p>
      <w:pPr>
        <w:jc w:val="both"/>
        <w:widowControl/>
        <w:spacing w:lineRule="auto" w:line="360"/>
        <w:tabs>
          <w:tab w:val="left" w:pos="1134"/>
        </w:tabs>
        <w:rPr>
          <w:rFonts w:ascii="Times New Roman" w:hAnsi="Times New Roman" w:cs="Times New Roman" w:eastAsia="Times New Roman"/>
          <w:b/>
          <w:sz w:val="24"/>
          <w:color w:val="000000"/>
          <w:shd w:val="clear" w:color="auto" w:fill="FF0000"/>
        </w:rPr>
      </w:pPr>
      <w:r>
        <w:rPr>
          <w:rFonts w:ascii="Times New Roman" w:hAnsi="Times New Roman" w:cs="Times New Roman" w:eastAsia="Times New Roman"/>
          <w:b/>
          <w:sz w:val="24"/>
          <w:color w:val="000000"/>
          <w:shd w:val="clear" w:color="auto" w:fill="FF0000"/>
        </w:rPr>
        <w:t/>
      </w:r>
    </w:p>
    <w:p>
      <w:pPr>
        <w:jc w:val="both"/>
        <w:widowControl/>
        <w:spacing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17. OBRIGAÇÕES DA VENCEDORA</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17.1</w:t>
      </w:r>
      <w:r>
        <w:rPr>
          <w:rFonts w:ascii="Times New Roman" w:hAnsi="Times New Roman" w:cs="Times New Roman" w:eastAsia="Times New Roman"/>
          <w:sz w:val="24"/>
        </w:rPr>
        <w:t xml:space="preserve"> A vencedora deverá observar durante a execução do contrato as normas técnicas aplicáveis ao serviço, bem como as normas de segurança do trabalho.</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17.2</w:t>
      </w:r>
      <w:r>
        <w:rPr>
          <w:rFonts w:ascii="Times New Roman" w:hAnsi="Times New Roman" w:cs="Times New Roman" w:eastAsia="Times New Roman"/>
          <w:sz w:val="24"/>
        </w:rPr>
        <w:t xml:space="preserve"> A vencedora deverá executar os serviços observando fielmente o projeto básico, Anexo I, inclusive em relação à qualidade dos materiais e ao cronograma de execução, e os termos da sua proposta.</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17.3</w:t>
      </w:r>
      <w:r>
        <w:rPr>
          <w:rFonts w:ascii="Times New Roman" w:hAnsi="Times New Roman" w:cs="Times New Roman" w:eastAsia="Times New Roman"/>
          <w:sz w:val="24"/>
        </w:rPr>
        <w:t xml:space="preserve"> A vencedora deverá manter, durante toda a execução contratual, todas as condições de habilitação e qualificação exigidas na licitação, inclusive quanto às contribuições para o FGTS e INSS relativa aos empregados utilizados na prestação do serviço, devendo apresentar mensalmente à Administração os comprovantes de pagamentos dos encargos trabalhistas e previdenciários.</w:t>
      </w:r>
    </w:p>
    <w:p>
      <w:pPr>
        <w:jc w:val="both"/>
        <w:widowControl/>
        <w:spacing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
      </w:r>
    </w:p>
    <w:p>
      <w:pPr>
        <w:jc w:val="both"/>
        <w:widowControl/>
        <w:spacing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 xml:space="preserve">18. PRAZOS DE EXECUÇÃO E DE VIGÊNCIA DO CONTRATO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18.1.</w:t>
      </w:r>
      <w:r>
        <w:rPr>
          <w:rFonts w:ascii="Times New Roman" w:hAnsi="Times New Roman" w:cs="Times New Roman" w:eastAsia="Times New Roman"/>
          <w:sz w:val="24"/>
        </w:rPr>
        <w:t xml:space="preserve"> O contrato decorrente da presente licitação terá o prazo de vigência de 12 meses, podendo ser prorrogado.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18.2.</w:t>
      </w:r>
      <w:r>
        <w:rPr>
          <w:rFonts w:ascii="Times New Roman" w:hAnsi="Times New Roman" w:cs="Times New Roman" w:eastAsia="Times New Roman"/>
          <w:sz w:val="24"/>
        </w:rPr>
        <w:t xml:space="preserve"> O objeto da presente licitação deverá ser executado no prazo de </w:t>
      </w:r>
      <w:r>
        <w:rPr>
          <w:rFonts w:ascii="Times New Roman" w:hAnsi="Times New Roman" w:cs="Times New Roman" w:eastAsia="Times New Roman"/>
          <w:i/>
          <w:sz w:val="24"/>
        </w:rPr>
        <w:t>imediatamente após a assinatura do contrato</w:t>
      </w:r>
      <w:r>
        <w:rPr>
          <w:rFonts w:ascii="Times New Roman" w:hAnsi="Times New Roman" w:cs="Times New Roman" w:eastAsia="Times New Roman"/>
          <w:sz w:val="24"/>
        </w:rPr>
        <w:t>, a contar da ordem de início emitida pela Administração.</w:t>
      </w:r>
    </w:p>
    <w:p>
      <w:pPr>
        <w:jc w:val="both"/>
        <w:widowControl/>
        <w:spacing w:lineRule="auto" w:line="360"/>
        <w:tabs>
          <w:tab w:val="left" w:pos="1134"/>
        </w:tabs>
        <w:rPr>
          <w:rFonts w:ascii="Times New Roman" w:hAnsi="Times New Roman" w:cs="Times New Roman" w:eastAsia="Times New Roman"/>
          <w:b/>
          <w:sz w:val="24"/>
          <w:color w:val="000000"/>
        </w:rPr>
      </w:pPr>
      <w:r>
        <w:rPr>
          <w:rFonts w:ascii="Times New Roman" w:hAnsi="Times New Roman" w:cs="Times New Roman" w:eastAsia="Times New Roman"/>
          <w:b/>
          <w:sz w:val="24"/>
          <w:color w:val="000000"/>
        </w:rPr>
        <w:t/>
      </w:r>
    </w:p>
    <w:p>
      <w:pPr>
        <w:jc w:val="both"/>
        <w:widowControl/>
        <w:spacing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19. CONDIÇÕES DE PAGAMENTO</w:t>
      </w:r>
    </w:p>
    <w:p>
      <w:pPr>
        <w:jc w:val="both"/>
        <w:widowControl/>
        <w:spacing w:lineRule="auto" w:line="360"/>
        <w:rPr>
          <w:rFonts w:ascii="Times New Roman" w:hAnsi="Times New Roman" w:cs="Times New Roman" w:eastAsia="Times New Roman"/>
          <w:i/>
          <w:sz w:val="24"/>
        </w:rPr>
      </w:pPr>
      <w:r>
        <w:rPr>
          <w:rFonts w:ascii="Times New Roman" w:hAnsi="Times New Roman" w:cs="Times New Roman" w:eastAsia="Times New Roman"/>
          <w:b/>
          <w:sz w:val="24"/>
        </w:rPr>
        <w:t>19.1.</w:t>
      </w:r>
      <w:r>
        <w:rPr>
          <w:rFonts w:ascii="Times New Roman" w:hAnsi="Times New Roman" w:cs="Times New Roman" w:eastAsia="Times New Roman"/>
          <w:sz w:val="24"/>
        </w:rPr>
        <w:t xml:space="preserve"> O pagamento será efetuado contra empenho, no prazo de </w:t>
      </w:r>
      <w:r>
        <w:rPr>
          <w:rFonts w:ascii="Times New Roman" w:hAnsi="Times New Roman" w:cs="Times New Roman" w:eastAsia="Times New Roman"/>
          <w:i/>
          <w:sz w:val="24"/>
        </w:rPr>
        <w:t>mensalmente após a prestação de serviço,.</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19.2. </w:t>
      </w:r>
      <w:r>
        <w:rPr>
          <w:rFonts w:ascii="Times New Roman" w:hAnsi="Times New Roman" w:cs="Times New Roman" w:eastAsia="Times New Roman"/>
          <w:sz w:val="24"/>
        </w:rPr>
        <w:t>Serão processadas as retenções tributárias e previdenciárias nos termos da legislação que regula a matéria.</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19.3. </w:t>
      </w:r>
      <w:r>
        <w:rPr>
          <w:rFonts w:ascii="Times New Roman" w:hAnsi="Times New Roman" w:cs="Times New Roman" w:eastAsia="Times New Roman"/>
          <w:sz w:val="24"/>
        </w:rPr>
        <w:t>A nota fiscal/fatura emitida pelo fornecedor deverá conter, em local de fácil visualização, a indicação do número do processo e o número do pregão, a fim de acelerar o trâmite de recebimento do material e posterior liberação do documento fiscal para pagamento.</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19.4. </w:t>
      </w:r>
      <w:r>
        <w:rPr>
          <w:rFonts w:ascii="Times New Roman" w:hAnsi="Times New Roman" w:cs="Times New Roman" w:eastAsia="Times New Roman"/>
          <w:sz w:val="24"/>
        </w:rPr>
        <w:t>A despesa correrá na seguinte dotação orçamentária:</w:t>
      </w:r>
    </w:p>
    <w:p>
      <w:pPr>
        <w:jc w:val="both"/>
        <w:spacing w:before="120" w:after="120"/>
        <w:rPr>
          <w:rFonts w:ascii="Times New Roman" w:hAnsi="Times New Roman" w:cs="Times New Roman" w:eastAsia="Times New Roman"/>
        </w:rPr>
      </w:pPr>
      <w:r>
        <w:rPr>
          <w:rFonts w:ascii="Times New Roman" w:hAnsi="Times New Roman" w:cs="Times New Roman" w:eastAsia="Times New Roman"/>
        </w:rPr>
        <w:t>01/04/01 - SECRETARIA DA FAZENDA</w:t>
      </w:r>
    </w:p>
    <w:p>
      <w:pPr>
        <w:jc w:val="both"/>
        <w:spacing w:before="120" w:after="120"/>
        <w:rPr>
          <w:rFonts w:ascii="Times New Roman" w:hAnsi="Times New Roman" w:cs="Times New Roman" w:eastAsia="Times New Roman"/>
        </w:rPr>
      </w:pPr>
      <w:r>
        <w:rPr>
          <w:rFonts w:ascii="Times New Roman" w:hAnsi="Times New Roman" w:cs="Times New Roman" w:eastAsia="Times New Roman"/>
        </w:rPr>
        <w:t>04.123.0012.2012.0000 - Atividades da Secretaria Municipal da Fazenda</w:t>
      </w:r>
    </w:p>
    <w:p>
      <w:pPr>
        <w:jc w:val="both"/>
        <w:spacing w:before="120" w:after="120"/>
        <w:rPr>
          <w:rFonts w:ascii="Times New Roman" w:hAnsi="Times New Roman" w:cs="Times New Roman" w:eastAsia="Times New Roman"/>
        </w:rPr>
      </w:pPr>
      <w:r>
        <w:rPr>
          <w:rFonts w:ascii="Times New Roman" w:hAnsi="Times New Roman" w:cs="Times New Roman" w:eastAsia="Times New Roman"/>
        </w:rPr>
        <w:t>3.3.90.35.04 - CONSULTORIA EM TECNOLOGIA DA INFORMAÇÃO E COMUNICAÇÃO (T.I.C</w:t>
      </w:r>
    </w:p>
    <w:p>
      <w:pPr>
        <w:jc w:val="both"/>
        <w:spacing w:before="120" w:after="120"/>
        <w:rPr>
          <w:rFonts w:ascii="Times New Roman" w:hAnsi="Times New Roman" w:cs="Times New Roman" w:eastAsia="Times New Roman"/>
        </w:rPr>
      </w:pPr>
      <w:r>
        <w:rPr>
          <w:rFonts w:ascii="Times New Roman" w:hAnsi="Times New Roman" w:cs="Times New Roman" w:eastAsia="Times New Roman"/>
        </w:rPr>
        <w:t>Ficha - 66</w:t>
      </w:r>
    </w:p>
    <w:p>
      <w:pPr>
        <w:jc w:val="both"/>
        <w:widowControl/>
        <w:spacing w:lineRule="auto" w:line="360"/>
        <w:tabs>
          <w:tab w:val="left" w:pos="1134"/>
        </w:tabs>
        <w:rPr>
          <w:rFonts w:ascii="Times New Roman" w:hAnsi="Times New Roman" w:cs="Times New Roman" w:eastAsia="Times New Roman"/>
          <w:b/>
          <w:sz w:val="24"/>
        </w:rPr>
      </w:pPr>
      <w:bookmarkStart w:id="54" w:name="_Hlk108092172"/>
      <w:bookmarkEnd w:id="54"/>
      <w:r>
        <w:rPr>
          <w:rFonts w:ascii="Times New Roman" w:hAnsi="Times New Roman" w:cs="Times New Roman" w:eastAsia="Times New Roman"/>
          <w:b/>
          <w:sz w:val="24"/>
        </w:rPr>
        <w:t/>
      </w:r>
    </w:p>
    <w:p>
      <w:pPr>
        <w:jc w:val="both"/>
        <w:widowControl/>
        <w:spacing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20. SANÇÕES ADMINISTRATIVAS</w:t>
      </w:r>
    </w:p>
    <w:p>
      <w:pPr>
        <w:jc w:val="both"/>
        <w:widowControl/>
        <w:spacing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rPr>
        <w:t>20.1.</w:t>
      </w:r>
      <w:r>
        <w:rPr>
          <w:rFonts w:ascii="Times New Roman" w:hAnsi="Times New Roman" w:cs="Times New Roman" w:eastAsia="Times New Roman"/>
          <w:b/>
          <w:sz w:val="24"/>
          <w:color w:val="000000"/>
        </w:rPr>
        <w:t> </w:t>
      </w:r>
      <w:r>
        <w:rPr>
          <w:rFonts w:ascii="Times New Roman" w:hAnsi="Times New Roman" w:cs="Times New Roman" w:eastAsia="Times New Roman"/>
          <w:sz w:val="24"/>
          <w:color w:val="000000"/>
        </w:rPr>
        <w:t>O licitante ou o contratado será responsabilizado administrativamente pelas seguintes infrações:</w:t>
      </w:r>
    </w:p>
    <w:p>
      <w:pPr>
        <w:jc w:val="both"/>
        <w:widowControl/>
        <w:spacing w:lineRule="auto" w:line="360"/>
        <w:rPr>
          <w:rFonts w:ascii="Times New Roman" w:hAnsi="Times New Roman" w:cs="Times New Roman" w:eastAsia="Times New Roman"/>
          <w:sz w:val="24"/>
          <w:color w:val="000000"/>
        </w:rPr>
      </w:pPr>
      <w:bookmarkStart w:id="55" w:name="art155i"/>
      <w:bookmarkEnd w:id="55"/>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dar causa à inexecução parcial do contrato;</w:t>
      </w:r>
    </w:p>
    <w:p>
      <w:pPr>
        <w:jc w:val="both"/>
        <w:widowControl/>
        <w:spacing w:lineRule="auto" w:line="360"/>
        <w:rPr>
          <w:rFonts w:ascii="Times New Roman" w:hAnsi="Times New Roman" w:cs="Times New Roman" w:eastAsia="Times New Roman"/>
          <w:sz w:val="24"/>
          <w:color w:val="000000"/>
        </w:rPr>
      </w:pPr>
      <w:bookmarkStart w:id="56" w:name="art155ii"/>
      <w:bookmarkEnd w:id="56"/>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dar causa à inexecução parcial do contrato que cause grave dano à Administração, ao funcionamento dos serviços públicos ou ao interesse coletivo;</w:t>
      </w:r>
    </w:p>
    <w:p>
      <w:pPr>
        <w:jc w:val="both"/>
        <w:widowControl/>
        <w:spacing w:lineRule="auto" w:line="360"/>
        <w:rPr>
          <w:rFonts w:ascii="Times New Roman" w:hAnsi="Times New Roman" w:cs="Times New Roman" w:eastAsia="Times New Roman"/>
          <w:sz w:val="24"/>
          <w:color w:val="000000"/>
        </w:rPr>
      </w:pPr>
      <w:bookmarkStart w:id="57" w:name="art155iii"/>
      <w:bookmarkEnd w:id="57"/>
      <w:r>
        <w:rPr>
          <w:rFonts w:ascii="Times New Roman" w:hAnsi="Times New Roman" w:cs="Times New Roman" w:eastAsia="Times New Roman"/>
          <w:b/>
          <w:sz w:val="24"/>
          <w:color w:val="000000"/>
        </w:rPr>
        <w:t xml:space="preserve">c) </w:t>
      </w:r>
      <w:r>
        <w:rPr>
          <w:rFonts w:ascii="Times New Roman" w:hAnsi="Times New Roman" w:cs="Times New Roman" w:eastAsia="Times New Roman"/>
          <w:sz w:val="24"/>
          <w:color w:val="000000"/>
        </w:rPr>
        <w:t>dar causa à inexecução total do contrato;</w:t>
      </w:r>
    </w:p>
    <w:p>
      <w:pPr>
        <w:jc w:val="both"/>
        <w:widowControl/>
        <w:spacing w:lineRule="auto" w:line="360"/>
        <w:rPr>
          <w:rFonts w:ascii="Times New Roman" w:hAnsi="Times New Roman" w:cs="Times New Roman" w:eastAsia="Times New Roman"/>
          <w:sz w:val="24"/>
          <w:color w:val="000000"/>
        </w:rPr>
      </w:pPr>
      <w:bookmarkStart w:id="58" w:name="art155iv"/>
      <w:bookmarkEnd w:id="58"/>
      <w:r>
        <w:rPr>
          <w:rFonts w:ascii="Times New Roman" w:hAnsi="Times New Roman" w:cs="Times New Roman" w:eastAsia="Times New Roman"/>
          <w:b/>
          <w:sz w:val="24"/>
          <w:color w:val="000000"/>
        </w:rPr>
        <w:t>d)</w:t>
      </w:r>
      <w:r>
        <w:rPr>
          <w:rFonts w:ascii="Times New Roman" w:hAnsi="Times New Roman" w:cs="Times New Roman" w:eastAsia="Times New Roman"/>
          <w:sz w:val="24"/>
          <w:color w:val="000000"/>
        </w:rPr>
        <w:t xml:space="preserve"> deixar de entregar a documentação exigida para o certame;</w:t>
      </w:r>
    </w:p>
    <w:p>
      <w:pPr>
        <w:jc w:val="both"/>
        <w:widowControl/>
        <w:spacing w:lineRule="auto" w:line="360"/>
        <w:rPr>
          <w:rFonts w:ascii="Times New Roman" w:hAnsi="Times New Roman" w:cs="Times New Roman" w:eastAsia="Times New Roman"/>
          <w:sz w:val="24"/>
          <w:color w:val="000000"/>
        </w:rPr>
      </w:pPr>
      <w:bookmarkStart w:id="59" w:name="art155v"/>
      <w:bookmarkEnd w:id="59"/>
      <w:r>
        <w:rPr>
          <w:rFonts w:ascii="Times New Roman" w:hAnsi="Times New Roman" w:cs="Times New Roman" w:eastAsia="Times New Roman"/>
          <w:b/>
          <w:sz w:val="24"/>
          <w:color w:val="000000"/>
        </w:rPr>
        <w:t>e)</w:t>
      </w:r>
      <w:r>
        <w:rPr>
          <w:rFonts w:ascii="Times New Roman" w:hAnsi="Times New Roman" w:cs="Times New Roman" w:eastAsia="Times New Roman"/>
          <w:sz w:val="24"/>
          <w:color w:val="000000"/>
        </w:rPr>
        <w:t xml:space="preserve"> não manter a proposta, salvo em decorrência de fato superveniente devidamente justificado;</w:t>
      </w:r>
    </w:p>
    <w:p>
      <w:pPr>
        <w:jc w:val="both"/>
        <w:widowControl/>
        <w:spacing w:lineRule="auto" w:line="360"/>
        <w:rPr>
          <w:rFonts w:ascii="Times New Roman" w:hAnsi="Times New Roman" w:cs="Times New Roman" w:eastAsia="Times New Roman"/>
          <w:sz w:val="24"/>
          <w:color w:val="000000"/>
        </w:rPr>
      </w:pPr>
      <w:bookmarkStart w:id="60" w:name="art155vi"/>
      <w:bookmarkEnd w:id="60"/>
      <w:r>
        <w:rPr>
          <w:rFonts w:ascii="Times New Roman" w:hAnsi="Times New Roman" w:cs="Times New Roman" w:eastAsia="Times New Roman"/>
          <w:b/>
          <w:sz w:val="24"/>
          <w:color w:val="000000"/>
        </w:rPr>
        <w:t>f)</w:t>
      </w:r>
      <w:r>
        <w:rPr>
          <w:rFonts w:ascii="Times New Roman" w:hAnsi="Times New Roman" w:cs="Times New Roman" w:eastAsia="Times New Roman"/>
          <w:sz w:val="24"/>
          <w:color w:val="000000"/>
        </w:rPr>
        <w:t xml:space="preserve"> não celebrar o contrato ou não entregar a documentação exigida para a contratação, quando convocado dentro do prazo de validade de sua proposta;</w:t>
      </w:r>
    </w:p>
    <w:p>
      <w:pPr>
        <w:jc w:val="both"/>
        <w:widowControl/>
        <w:spacing w:lineRule="auto" w:line="360"/>
        <w:rPr>
          <w:rFonts w:ascii="Times New Roman" w:hAnsi="Times New Roman" w:cs="Times New Roman" w:eastAsia="Times New Roman"/>
          <w:sz w:val="24"/>
          <w:color w:val="000000"/>
        </w:rPr>
      </w:pPr>
      <w:bookmarkStart w:id="61" w:name="art155vii"/>
      <w:bookmarkEnd w:id="61"/>
      <w:r>
        <w:rPr>
          <w:rFonts w:ascii="Times New Roman" w:hAnsi="Times New Roman" w:cs="Times New Roman" w:eastAsia="Times New Roman"/>
          <w:b/>
          <w:sz w:val="24"/>
          <w:color w:val="000000"/>
        </w:rPr>
        <w:t>g)</w:t>
      </w:r>
      <w:r>
        <w:rPr>
          <w:rFonts w:ascii="Times New Roman" w:hAnsi="Times New Roman" w:cs="Times New Roman" w:eastAsia="Times New Roman"/>
          <w:sz w:val="24"/>
          <w:color w:val="000000"/>
        </w:rPr>
        <w:t xml:space="preserve"> ensejar o retardamento da execução ou da entrega do objeto da licitação sem motivo justificado;</w:t>
      </w:r>
    </w:p>
    <w:p>
      <w:pPr>
        <w:jc w:val="both"/>
        <w:widowControl/>
        <w:spacing w:lineRule="auto" w:line="360"/>
        <w:rPr>
          <w:rFonts w:ascii="Times New Roman" w:hAnsi="Times New Roman" w:cs="Times New Roman" w:eastAsia="Times New Roman"/>
          <w:sz w:val="24"/>
          <w:color w:val="000000"/>
        </w:rPr>
      </w:pPr>
      <w:bookmarkStart w:id="62" w:name="art155viii"/>
      <w:bookmarkEnd w:id="62"/>
      <w:r>
        <w:rPr>
          <w:rFonts w:ascii="Times New Roman" w:hAnsi="Times New Roman" w:cs="Times New Roman" w:eastAsia="Times New Roman"/>
          <w:b/>
          <w:sz w:val="24"/>
          <w:color w:val="000000"/>
        </w:rPr>
        <w:t>h)</w:t>
      </w:r>
      <w:r>
        <w:rPr>
          <w:rFonts w:ascii="Times New Roman" w:hAnsi="Times New Roman" w:cs="Times New Roman" w:eastAsia="Times New Roman"/>
          <w:sz w:val="24"/>
          <w:color w:val="000000"/>
        </w:rPr>
        <w:t xml:space="preserve"> apresentar declaração ou documentação falsa exigida para o certame ou prestar declaração falsa durante a licitação ou a execução do contrato;</w:t>
      </w:r>
    </w:p>
    <w:p>
      <w:pPr>
        <w:jc w:val="both"/>
        <w:widowControl/>
        <w:spacing w:lineRule="auto" w:line="360"/>
        <w:rPr>
          <w:rFonts w:ascii="Times New Roman" w:hAnsi="Times New Roman" w:cs="Times New Roman" w:eastAsia="Times New Roman"/>
          <w:sz w:val="24"/>
          <w:color w:val="000000"/>
        </w:rPr>
      </w:pPr>
      <w:bookmarkStart w:id="63" w:name="art155ix"/>
      <w:bookmarkEnd w:id="63"/>
      <w:r>
        <w:rPr>
          <w:rFonts w:ascii="Times New Roman" w:hAnsi="Times New Roman" w:cs="Times New Roman" w:eastAsia="Times New Roman"/>
          <w:b/>
          <w:sz w:val="24"/>
          <w:color w:val="000000"/>
        </w:rPr>
        <w:t>i)</w:t>
      </w:r>
      <w:r>
        <w:rPr>
          <w:rFonts w:ascii="Times New Roman" w:hAnsi="Times New Roman" w:cs="Times New Roman" w:eastAsia="Times New Roman"/>
          <w:sz w:val="24"/>
          <w:color w:val="000000"/>
        </w:rPr>
        <w:t xml:space="preserve"> fraudar a licitação ou praticar ato fraudulento na execução do contrato;</w:t>
      </w:r>
    </w:p>
    <w:p>
      <w:pPr>
        <w:jc w:val="both"/>
        <w:widowControl/>
        <w:spacing w:lineRule="auto" w:line="360"/>
        <w:rPr>
          <w:rFonts w:ascii="Times New Roman" w:hAnsi="Times New Roman" w:cs="Times New Roman" w:eastAsia="Times New Roman"/>
          <w:sz w:val="24"/>
          <w:color w:val="000000"/>
        </w:rPr>
      </w:pPr>
      <w:bookmarkStart w:id="64" w:name="art155x"/>
      <w:bookmarkEnd w:id="64"/>
      <w:r>
        <w:rPr>
          <w:rFonts w:ascii="Times New Roman" w:hAnsi="Times New Roman" w:cs="Times New Roman" w:eastAsia="Times New Roman"/>
          <w:b/>
          <w:sz w:val="24"/>
          <w:color w:val="000000"/>
        </w:rPr>
        <w:t>j)</w:t>
      </w:r>
      <w:r>
        <w:rPr>
          <w:rFonts w:ascii="Times New Roman" w:hAnsi="Times New Roman" w:cs="Times New Roman" w:eastAsia="Times New Roman"/>
          <w:sz w:val="24"/>
          <w:color w:val="000000"/>
        </w:rPr>
        <w:t xml:space="preserve"> comportar-se de modo inidôneo ou cometer fraude de qualquer natureza;</w:t>
      </w:r>
    </w:p>
    <w:p>
      <w:pPr>
        <w:jc w:val="both"/>
        <w:widowControl/>
        <w:spacing w:lineRule="auto" w:line="360"/>
        <w:rPr>
          <w:rFonts w:ascii="Times New Roman" w:hAnsi="Times New Roman" w:cs="Times New Roman" w:eastAsia="Times New Roman"/>
          <w:sz w:val="24"/>
          <w:color w:val="000000"/>
        </w:rPr>
      </w:pPr>
      <w:bookmarkStart w:id="65" w:name="art155xi"/>
      <w:bookmarkEnd w:id="65"/>
      <w:r>
        <w:rPr>
          <w:rFonts w:ascii="Times New Roman" w:hAnsi="Times New Roman" w:cs="Times New Roman" w:eastAsia="Times New Roman"/>
          <w:b/>
          <w:sz w:val="24"/>
          <w:color w:val="000000"/>
        </w:rPr>
        <w:t>l)</w:t>
      </w:r>
      <w:r>
        <w:rPr>
          <w:rFonts w:ascii="Times New Roman" w:hAnsi="Times New Roman" w:cs="Times New Roman" w:eastAsia="Times New Roman"/>
          <w:sz w:val="24"/>
          <w:color w:val="000000"/>
        </w:rPr>
        <w:t xml:space="preserve"> praticar atos ilícitos com vistas a frustrar os objetivos da licitação;</w:t>
      </w:r>
    </w:p>
    <w:p>
      <w:pPr>
        <w:jc w:val="both"/>
        <w:widowControl/>
        <w:spacing w:lineRule="auto" w:line="360"/>
        <w:rPr>
          <w:rFonts w:ascii="Times New Roman" w:hAnsi="Times New Roman" w:cs="Times New Roman" w:eastAsia="Times New Roman"/>
          <w:u w:val="single" w:color="auto"/>
          <w:sz w:val="24"/>
          <w:color w:val="0000FF"/>
        </w:rPr>
      </w:pPr>
      <w:bookmarkStart w:id="66" w:name="art155xii"/>
      <w:bookmarkEnd w:id="66"/>
      <w:r>
        <w:rPr>
          <w:rFonts w:ascii="Times New Roman" w:hAnsi="Times New Roman" w:cs="Times New Roman" w:eastAsia="Times New Roman"/>
          <w:b/>
          <w:sz w:val="24"/>
          <w:color w:val="000000"/>
        </w:rPr>
        <w:t>m)</w:t>
      </w:r>
      <w:r>
        <w:rPr>
          <w:rFonts w:ascii="Times New Roman" w:hAnsi="Times New Roman" w:cs="Times New Roman" w:eastAsia="Times New Roman"/>
          <w:sz w:val="24"/>
          <w:color w:val="000000"/>
        </w:rPr>
        <w:t xml:space="preserve"> praticar ato lesivo previsto no </w:t>
      </w:r>
      <w:hyperlink r:id="hrId10" w:anchor="art5">
        <w:r>
          <w:rPr>
            <w:rFonts w:ascii="Times New Roman" w:hAnsi="Times New Roman" w:cs="Times New Roman" w:eastAsia="Times New Roman"/>
            <w:u w:val="single" w:color="auto"/>
            <w:sz w:val="24"/>
            <w:color w:val="0000FF"/>
          </w:rPr>
          <w:t>art. 5º da Lei nº 12.846, de 1º de agosto de 2013.</w:t>
        </w:r>
      </w:hyperlink>
    </w:p>
    <w:p>
      <w:pPr>
        <w:jc w:val="both"/>
        <w:widowControl/>
        <w:spacing w:lineRule="auto" w:line="360"/>
        <w:rPr>
          <w:rFonts w:ascii="Times New Roman" w:hAnsi="Times New Roman" w:cs="Times New Roman" w:eastAsia="Times New Roman"/>
          <w:sz w:val="24"/>
          <w:color w:val="000000"/>
        </w:rPr>
      </w:pPr>
      <w:bookmarkStart w:id="67" w:name="art156"/>
      <w:bookmarkEnd w:id="67"/>
      <w:r>
        <w:rPr>
          <w:rFonts w:ascii="Times New Roman" w:hAnsi="Times New Roman" w:cs="Times New Roman" w:eastAsia="Times New Roman"/>
          <w:b/>
          <w:sz w:val="24"/>
          <w:color w:val="000000"/>
        </w:rPr>
        <w:t>20.2.</w:t>
      </w:r>
      <w:r>
        <w:rPr>
          <w:rFonts w:ascii="Times New Roman" w:hAnsi="Times New Roman" w:cs="Times New Roman" w:eastAsia="Times New Roman"/>
          <w:sz w:val="24"/>
          <w:color w:val="000000"/>
        </w:rPr>
        <w:t xml:space="preserve"> Serão aplicadas ao responsável pelas infrações administrativas previstas no item 20.1 deste edital as seguintes sanções:</w:t>
      </w:r>
    </w:p>
    <w:p>
      <w:pPr>
        <w:jc w:val="both"/>
        <w:widowControl/>
        <w:spacing w:lineRule="auto" w:line="360"/>
        <w:rPr>
          <w:rFonts w:ascii="Times New Roman" w:hAnsi="Times New Roman" w:cs="Times New Roman" w:eastAsia="Times New Roman"/>
          <w:sz w:val="24"/>
          <w:color w:val="000000"/>
        </w:rPr>
      </w:pPr>
      <w:bookmarkStart w:id="68" w:name="art156i"/>
      <w:bookmarkEnd w:id="68"/>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advertência;</w:t>
      </w:r>
    </w:p>
    <w:p>
      <w:pPr>
        <w:jc w:val="both"/>
        <w:widowControl/>
        <w:spacing w:lineRule="auto" w:line="360"/>
        <w:rPr>
          <w:rFonts w:ascii="Times New Roman" w:hAnsi="Times New Roman" w:cs="Times New Roman" w:eastAsia="Times New Roman"/>
          <w:sz w:val="24"/>
          <w:color w:val="000000"/>
        </w:rPr>
      </w:pPr>
      <w:bookmarkStart w:id="69" w:name="art156ii"/>
      <w:bookmarkEnd w:id="69"/>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multa de no mínimo 0,5% (cinco décimos por cento) e máximo de 30% (trinta por cento) do valor do objeto licitado ou contratado;</w:t>
      </w:r>
    </w:p>
    <w:p>
      <w:pPr>
        <w:jc w:val="both"/>
        <w:widowControl/>
        <w:spacing w:lineRule="auto" w:line="360"/>
        <w:rPr>
          <w:rFonts w:ascii="Times New Roman" w:hAnsi="Times New Roman" w:cs="Times New Roman" w:eastAsia="Times New Roman"/>
          <w:sz w:val="24"/>
          <w:color w:val="000000"/>
        </w:rPr>
      </w:pPr>
      <w:bookmarkStart w:id="70" w:name="art156iii"/>
      <w:bookmarkEnd w:id="70"/>
      <w:r>
        <w:rPr>
          <w:rFonts w:ascii="Times New Roman" w:hAnsi="Times New Roman" w:cs="Times New Roman" w:eastAsia="Times New Roman"/>
          <w:b/>
          <w:sz w:val="24"/>
          <w:color w:val="000000"/>
        </w:rPr>
        <w:t>c)</w:t>
      </w:r>
      <w:r>
        <w:rPr>
          <w:rFonts w:ascii="Times New Roman" w:hAnsi="Times New Roman" w:cs="Times New Roman" w:eastAsia="Times New Roman"/>
          <w:sz w:val="24"/>
          <w:color w:val="000000"/>
        </w:rPr>
        <w:t xml:space="preserve"> impedimento de licitar e contratar, no âmbito da Administração Pública direta e indireta do órgão licitante, pelo prazo máximo de 3 (três) anos.</w:t>
      </w:r>
    </w:p>
    <w:p>
      <w:pPr>
        <w:jc w:val="both"/>
        <w:widowControl/>
        <w:spacing w:lineRule="auto" w:line="360"/>
        <w:rPr>
          <w:rFonts w:ascii="Times New Roman" w:hAnsi="Times New Roman" w:cs="Times New Roman" w:eastAsia="Times New Roman"/>
          <w:sz w:val="24"/>
          <w:color w:val="000000"/>
        </w:rPr>
      </w:pPr>
      <w:bookmarkStart w:id="71" w:name="art156iv"/>
      <w:bookmarkEnd w:id="71"/>
      <w:r>
        <w:rPr>
          <w:rFonts w:ascii="Times New Roman" w:hAnsi="Times New Roman" w:cs="Times New Roman" w:eastAsia="Times New Roman"/>
          <w:b/>
          <w:sz w:val="24"/>
          <w:color w:val="000000"/>
        </w:rPr>
        <w:t>d)</w:t>
      </w:r>
      <w:r>
        <w:rPr>
          <w:rFonts w:ascii="Times New Roman" w:hAnsi="Times New Roman" w:cs="Times New Roman" w:eastAsia="Times New Roman"/>
          <w:sz w:val="24"/>
          <w:color w:val="000000"/>
        </w:rPr>
        <w:t xml:space="preserve"> declaração de inidoneidade para licitar ou contratar</w:t>
      </w:r>
      <w:bookmarkStart w:id="72" w:name="art156_5"/>
      <w:bookmarkEnd w:id="72"/>
      <w:r>
        <w:rPr>
          <w:rFonts w:ascii="Times New Roman" w:hAnsi="Times New Roman" w:cs="Times New Roman" w:eastAsia="Times New Roman"/>
          <w:sz w:val="24"/>
          <w:color w:val="000000"/>
        </w:rPr>
        <w:t xml:space="preserve"> no âmbito da Administração Pública direta e indireta de todos os entes federativos, pelo prazo mínimo de 3 (três) anos e máximo de 6 (seis) anos.</w:t>
      </w:r>
    </w:p>
    <w:p>
      <w:pPr>
        <w:jc w:val="both"/>
        <w:widowControl/>
        <w:spacing w:lineRule="auto" w:line="360"/>
        <w:rPr>
          <w:rFonts w:ascii="Times New Roman" w:hAnsi="Times New Roman" w:cs="Times New Roman" w:eastAsia="Times New Roman"/>
          <w:sz w:val="24"/>
          <w:color w:val="000000"/>
        </w:rPr>
      </w:pPr>
      <w:bookmarkStart w:id="73" w:name="art156_7"/>
      <w:bookmarkEnd w:id="73"/>
      <w:r>
        <w:rPr>
          <w:rFonts w:ascii="Times New Roman" w:hAnsi="Times New Roman" w:cs="Times New Roman" w:eastAsia="Times New Roman"/>
          <w:b/>
          <w:sz w:val="24"/>
          <w:color w:val="000000"/>
        </w:rPr>
        <w:t>20.3</w:t>
      </w:r>
      <w:r>
        <w:rPr>
          <w:rFonts w:ascii="Times New Roman" w:hAnsi="Times New Roman" w:cs="Times New Roman" w:eastAsia="Times New Roman"/>
          <w:sz w:val="24"/>
          <w:color w:val="000000"/>
        </w:rPr>
        <w:t xml:space="preserve"> As sanções previstas nas alíneas “a”, “c” e “d” do item 20.2. do presente Edital poderão ser aplicadas cumulativamente com a prevista na alínea “b” do mesmo item.</w:t>
      </w:r>
    </w:p>
    <w:p>
      <w:pPr>
        <w:jc w:val="both"/>
        <w:widowControl/>
        <w:spacing w:lineRule="auto" w:line="360"/>
        <w:rPr>
          <w:rFonts w:ascii="Times New Roman" w:hAnsi="Times New Roman" w:cs="Times New Roman" w:eastAsia="Times New Roman"/>
          <w:sz w:val="24"/>
          <w:color w:val="000000"/>
        </w:rPr>
      </w:pPr>
      <w:bookmarkStart w:id="74" w:name="art156_8"/>
      <w:bookmarkEnd w:id="74"/>
      <w:r>
        <w:rPr>
          <w:rFonts w:ascii="Times New Roman" w:hAnsi="Times New Roman" w:cs="Times New Roman" w:eastAsia="Times New Roman"/>
          <w:b/>
          <w:sz w:val="24"/>
          <w:color w:val="000000"/>
        </w:rPr>
        <w:t xml:space="preserve">20.4. </w:t>
      </w:r>
      <w:r>
        <w:rPr>
          <w:rFonts w:ascii="Times New Roman" w:hAnsi="Times New Roman" w:cs="Times New Roman" w:eastAsia="Times New Roman"/>
          <w:sz w:val="24"/>
          <w:color w:val="000000"/>
        </w:rPr>
        <w:t xml:space="preserve">A aplicação de multa de mora não impedirá que a Administração a converta em compensatória e promova a extinção unilateral do contrato com a aplicação cumulada de outras sanções, conforme previsto no item 20.2 do presente Edital. </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20.5.</w:t>
      </w:r>
      <w:r>
        <w:rPr>
          <w:rFonts w:ascii="Times New Roman" w:hAnsi="Times New Roman" w:cs="Times New Roman" w:eastAsia="Times New Roman"/>
          <w:sz w:val="24"/>
          <w:color w:val="000000"/>
        </w:rPr>
        <w:t xml:space="preserve"> Se a multa aplicada e as indenizações cabíveis forem superiores ao valor de pagamento eventualmente devido pela Administração ao contratado, além da perda desse valor, a diferença será descontada da garantia prestada ou será cobrada judicialmente.</w:t>
      </w:r>
    </w:p>
    <w:p>
      <w:pPr>
        <w:jc w:val="both"/>
        <w:widowControl/>
        <w:spacing w:lineRule="auto" w:line="360"/>
        <w:rPr>
          <w:rFonts w:ascii="Times New Roman" w:hAnsi="Times New Roman" w:cs="Times New Roman" w:eastAsia="Times New Roman"/>
          <w:sz w:val="24"/>
          <w:color w:val="000000"/>
        </w:rPr>
      </w:pPr>
      <w:bookmarkStart w:id="75" w:name="art156_9"/>
      <w:bookmarkEnd w:id="75"/>
      <w:r>
        <w:rPr>
          <w:rFonts w:ascii="Times New Roman" w:hAnsi="Times New Roman" w:cs="Times New Roman" w:eastAsia="Times New Roman"/>
          <w:b/>
          <w:sz w:val="24"/>
          <w:color w:val="000000"/>
        </w:rPr>
        <w:t>20.6.</w:t>
      </w:r>
      <w:r>
        <w:rPr>
          <w:rFonts w:ascii="Times New Roman" w:hAnsi="Times New Roman" w:cs="Times New Roman" w:eastAsia="Times New Roman"/>
          <w:sz w:val="24"/>
          <w:color w:val="000000"/>
        </w:rPr>
        <w:t xml:space="preserve"> A aplicação das sanções previstas no item 20.2. deste Edital não exclui, em hipótese alguma, a obrigação de reparação integral do dano causado à Administração Pública.</w:t>
      </w:r>
    </w:p>
    <w:p>
      <w:pPr>
        <w:jc w:val="both"/>
        <w:widowControl/>
        <w:spacing w:lineRule="auto" w:line="360"/>
        <w:rPr>
          <w:rFonts w:ascii="Times New Roman" w:hAnsi="Times New Roman" w:cs="Times New Roman" w:eastAsia="Times New Roman"/>
          <w:sz w:val="24"/>
          <w:color w:val="000000"/>
        </w:rPr>
      </w:pPr>
      <w:bookmarkStart w:id="76" w:name="art157"/>
      <w:bookmarkEnd w:id="76"/>
      <w:r>
        <w:rPr>
          <w:rFonts w:ascii="Times New Roman" w:hAnsi="Times New Roman" w:cs="Times New Roman" w:eastAsia="Times New Roman"/>
          <w:b/>
          <w:sz w:val="24"/>
          <w:color w:val="000000"/>
        </w:rPr>
        <w:t>20.7.</w:t>
      </w:r>
      <w:r>
        <w:rPr>
          <w:rFonts w:ascii="Times New Roman" w:hAnsi="Times New Roman" w:cs="Times New Roman" w:eastAsia="Times New Roman"/>
          <w:sz w:val="24"/>
          <w:color w:val="000000"/>
        </w:rPr>
        <w:t xml:space="preserve"> Na aplicação da sanção prevista no item 20.2, alínea “b”, do presente edital, será facultada a defesa do interessado no prazo de 15 (quinze) dias úteis, contado da data de sua intimação.</w:t>
      </w:r>
    </w:p>
    <w:p>
      <w:pPr>
        <w:jc w:val="both"/>
        <w:widowControl/>
        <w:spacing w:lineRule="auto" w:line="360"/>
        <w:rPr>
          <w:rFonts w:ascii="Times New Roman" w:hAnsi="Times New Roman" w:cs="Times New Roman" w:eastAsia="Times New Roman"/>
          <w:sz w:val="24"/>
          <w:color w:val="000000"/>
        </w:rPr>
      </w:pPr>
      <w:bookmarkStart w:id="77" w:name="art158"/>
      <w:bookmarkEnd w:id="77"/>
      <w:r>
        <w:rPr>
          <w:rFonts w:ascii="Times New Roman" w:hAnsi="Times New Roman" w:cs="Times New Roman" w:eastAsia="Times New Roman"/>
          <w:b/>
          <w:sz w:val="24"/>
          <w:color w:val="000000"/>
        </w:rPr>
        <w:t>20.8.</w:t>
      </w:r>
      <w:r>
        <w:rPr>
          <w:rFonts w:ascii="Times New Roman" w:hAnsi="Times New Roman" w:cs="Times New Roman" w:eastAsia="Times New Roman"/>
          <w:sz w:val="24"/>
          <w:color w:val="000000"/>
        </w:rPr>
        <w:t xml:space="preserve"> Para aplicação das sanções previstas nas alíneas “c” e “d” do item 20.2 do presente Edital o licitante ou o contratado será intimado para, no prazo de 15 (quinze) dias úteis, contado da data de intimação, apresentar defesa escrita e especificar as provas que pretenda produzir.</w:t>
      </w:r>
    </w:p>
    <w:p>
      <w:pPr>
        <w:jc w:val="both"/>
        <w:widowControl/>
        <w:spacing w:lineRule="auto" w:line="360"/>
        <w:rPr>
          <w:rFonts w:ascii="Times New Roman" w:hAnsi="Times New Roman" w:cs="Times New Roman" w:eastAsia="Times New Roman"/>
          <w:sz w:val="24"/>
          <w:color w:val="000000"/>
        </w:rPr>
      </w:pPr>
      <w:bookmarkStart w:id="78" w:name="art158_2"/>
      <w:bookmarkEnd w:id="78"/>
      <w:r>
        <w:rPr>
          <w:rFonts w:ascii="Times New Roman" w:hAnsi="Times New Roman" w:cs="Times New Roman" w:eastAsia="Times New Roman"/>
          <w:b/>
          <w:sz w:val="24"/>
          <w:color w:val="000000"/>
        </w:rPr>
        <w:t>20.9.</w:t>
      </w:r>
      <w:r>
        <w:rPr>
          <w:rFonts w:ascii="Times New Roman" w:hAnsi="Times New Roman" w:cs="Times New Roman" w:eastAsia="Times New Roman"/>
          <w:sz w:val="24"/>
          <w:color w:val="000000"/>
        </w:rPr>
        <w:t xml:space="preserve"> Na hipótese de deferimento de pedido de produção de novas provas ou de juntada de provas julgadas indispensáveis pela comissão, o licitante ou o contratado poderá apresentar alegações finais no prazo de 15 (quinze) dias úteis, contado da data da intimação.</w:t>
      </w:r>
    </w:p>
    <w:p>
      <w:pPr>
        <w:jc w:val="both"/>
        <w:widowControl/>
        <w:spacing w:lineRule="auto" w:line="360"/>
        <w:rPr>
          <w:rFonts w:ascii="Times New Roman" w:hAnsi="Times New Roman" w:cs="Times New Roman" w:eastAsia="Times New Roman"/>
          <w:sz w:val="24"/>
          <w:color w:val="000000"/>
        </w:rPr>
      </w:pPr>
      <w:bookmarkStart w:id="79" w:name="art158_3"/>
      <w:bookmarkEnd w:id="79"/>
      <w:r>
        <w:rPr>
          <w:rFonts w:ascii="Times New Roman" w:hAnsi="Times New Roman" w:cs="Times New Roman" w:eastAsia="Times New Roman"/>
          <w:b/>
          <w:sz w:val="24"/>
          <w:color w:val="000000"/>
        </w:rPr>
        <w:t>20.10.</w:t>
      </w:r>
      <w:r>
        <w:rPr>
          <w:rFonts w:ascii="Times New Roman" w:hAnsi="Times New Roman" w:cs="Times New Roman" w:eastAsia="Times New Roman"/>
          <w:sz w:val="24"/>
          <w:color w:val="000000"/>
        </w:rPr>
        <w:t xml:space="preserve"> Serão indeferidas pela comissão, mediante decisão fundamentada, provas ilícitas, impertinentes, desnecessárias, protelatórias ou intempestivas.</w:t>
      </w:r>
    </w:p>
    <w:p>
      <w:pPr>
        <w:jc w:val="both"/>
        <w:widowControl/>
        <w:spacing w:lineRule="auto" w:line="360"/>
        <w:rPr>
          <w:rFonts w:ascii="Times New Roman" w:hAnsi="Times New Roman" w:cs="Times New Roman" w:eastAsia="Times New Roman"/>
          <w:sz w:val="24"/>
          <w:color w:val="000000"/>
        </w:rPr>
      </w:pPr>
      <w:bookmarkStart w:id="80" w:name="art160"/>
      <w:bookmarkEnd w:id="80"/>
      <w:r>
        <w:rPr>
          <w:rFonts w:ascii="Times New Roman" w:hAnsi="Times New Roman" w:cs="Times New Roman" w:eastAsia="Times New Roman"/>
          <w:b/>
          <w:sz w:val="24"/>
          <w:color w:val="000000"/>
        </w:rPr>
        <w:t>20.11.</w:t>
      </w:r>
      <w:r>
        <w:rPr>
          <w:rFonts w:ascii="Times New Roman" w:hAnsi="Times New Roman" w:cs="Times New Roman" w:eastAsia="Times New Roman"/>
          <w:sz w:val="24"/>
          <w:color w:val="000000"/>
        </w:rPr>
        <w:t xml:space="preserve">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pPr>
        <w:jc w:val="both"/>
        <w:widowControl/>
        <w:spacing w:lineRule="auto" w:line="360"/>
        <w:rPr>
          <w:rFonts w:ascii="Times New Roman" w:hAnsi="Times New Roman" w:cs="Times New Roman" w:eastAsia="Times New Roman"/>
          <w:sz w:val="24"/>
          <w:color w:val="000000"/>
        </w:rPr>
      </w:pPr>
      <w:bookmarkStart w:id="81" w:name="art163"/>
      <w:bookmarkEnd w:id="81"/>
      <w:r>
        <w:rPr>
          <w:rFonts w:ascii="Times New Roman" w:hAnsi="Times New Roman" w:cs="Times New Roman" w:eastAsia="Times New Roman"/>
          <w:b/>
          <w:sz w:val="24"/>
          <w:color w:val="000000"/>
        </w:rPr>
        <w:t>20.12.</w:t>
      </w:r>
      <w:r>
        <w:rPr>
          <w:rFonts w:ascii="Times New Roman" w:hAnsi="Times New Roman" w:cs="Times New Roman" w:eastAsia="Times New Roman"/>
          <w:sz w:val="24"/>
          <w:color w:val="000000"/>
        </w:rPr>
        <w:t xml:space="preserve"> É admitida a reabilitação do licitante ou contratado perante a própria autoridade que aplicou a penalidade, exigidos, cumulativamente:</w:t>
      </w:r>
    </w:p>
    <w:p>
      <w:pPr>
        <w:jc w:val="both"/>
        <w:widowControl/>
        <w:spacing w:lineRule="auto" w:line="360"/>
        <w:rPr>
          <w:rFonts w:ascii="Times New Roman" w:hAnsi="Times New Roman" w:cs="Times New Roman" w:eastAsia="Times New Roman"/>
          <w:sz w:val="24"/>
          <w:color w:val="000000"/>
        </w:rPr>
      </w:pPr>
      <w:bookmarkStart w:id="82" w:name="art163i"/>
      <w:bookmarkEnd w:id="82"/>
      <w:r>
        <w:rPr>
          <w:rFonts w:ascii="Times New Roman" w:hAnsi="Times New Roman" w:cs="Times New Roman" w:eastAsia="Times New Roman"/>
          <w:sz w:val="24"/>
          <w:color w:val="000000"/>
        </w:rPr>
        <w:t>a) reparação integral do dano causado à Administração Pública;</w:t>
      </w:r>
    </w:p>
    <w:p>
      <w:pPr>
        <w:jc w:val="both"/>
        <w:widowControl/>
        <w:spacing w:lineRule="auto" w:line="360"/>
        <w:rPr>
          <w:rFonts w:ascii="Times New Roman" w:hAnsi="Times New Roman" w:cs="Times New Roman" w:eastAsia="Times New Roman"/>
          <w:sz w:val="24"/>
          <w:color w:val="000000"/>
        </w:rPr>
      </w:pPr>
      <w:bookmarkStart w:id="83" w:name="art163ii"/>
      <w:bookmarkEnd w:id="83"/>
      <w:r>
        <w:rPr>
          <w:rFonts w:ascii="Times New Roman" w:hAnsi="Times New Roman" w:cs="Times New Roman" w:eastAsia="Times New Roman"/>
          <w:sz w:val="24"/>
          <w:color w:val="000000"/>
        </w:rPr>
        <w:t>b) pagamento da multa;</w:t>
      </w:r>
    </w:p>
    <w:p>
      <w:pPr>
        <w:jc w:val="both"/>
        <w:widowControl/>
        <w:spacing w:lineRule="auto" w:line="360"/>
        <w:rPr>
          <w:rFonts w:ascii="Times New Roman" w:hAnsi="Times New Roman" w:cs="Times New Roman" w:eastAsia="Times New Roman"/>
          <w:sz w:val="24"/>
          <w:color w:val="000000"/>
        </w:rPr>
      </w:pPr>
      <w:bookmarkStart w:id="84" w:name="art163iii"/>
      <w:bookmarkEnd w:id="84"/>
      <w:r>
        <w:rPr>
          <w:rFonts w:ascii="Times New Roman" w:hAnsi="Times New Roman" w:cs="Times New Roman" w:eastAsia="Times New Roman"/>
          <w:sz w:val="24"/>
          <w:color w:val="000000"/>
        </w:rPr>
        <w:t>c) transcurso do prazo mínimo de 1 (um) ano da aplicação da penalidade, no caso de impedimento de licitar e contratar, ou de 3 (três) anos da aplicação da penalidade, no caso de declaração de inidoneidade;</w:t>
      </w:r>
    </w:p>
    <w:p>
      <w:pPr>
        <w:jc w:val="both"/>
        <w:widowControl/>
        <w:spacing w:lineRule="auto" w:line="360"/>
        <w:rPr>
          <w:rFonts w:ascii="Times New Roman" w:hAnsi="Times New Roman" w:cs="Times New Roman" w:eastAsia="Times New Roman"/>
          <w:sz w:val="24"/>
          <w:color w:val="000000"/>
        </w:rPr>
      </w:pPr>
      <w:bookmarkStart w:id="85" w:name="art163iv"/>
      <w:bookmarkEnd w:id="85"/>
      <w:r>
        <w:rPr>
          <w:rFonts w:ascii="Times New Roman" w:hAnsi="Times New Roman" w:cs="Times New Roman" w:eastAsia="Times New Roman"/>
          <w:sz w:val="24"/>
          <w:color w:val="000000"/>
        </w:rPr>
        <w:t>d) cumprimento das condições de reabilitação definidas no ato punitivo;</w:t>
      </w:r>
    </w:p>
    <w:p>
      <w:pPr>
        <w:jc w:val="both"/>
        <w:widowControl/>
        <w:spacing w:lineRule="auto" w:line="360"/>
        <w:rPr>
          <w:rFonts w:ascii="Times New Roman" w:hAnsi="Times New Roman" w:cs="Times New Roman" w:eastAsia="Times New Roman"/>
          <w:sz w:val="24"/>
          <w:color w:val="000000"/>
        </w:rPr>
      </w:pPr>
      <w:bookmarkStart w:id="86" w:name="art163v"/>
      <w:bookmarkEnd w:id="86"/>
      <w:r>
        <w:rPr>
          <w:rFonts w:ascii="Times New Roman" w:hAnsi="Times New Roman" w:cs="Times New Roman" w:eastAsia="Times New Roman"/>
          <w:sz w:val="24"/>
          <w:color w:val="000000"/>
        </w:rPr>
        <w:t>e) análise jurídica prévia, com posicionamento conclusivo quanto ao cumprimento dos requisitos definidos neste artigo.</w:t>
      </w:r>
    </w:p>
    <w:p>
      <w:pPr>
        <w:jc w:val="both"/>
        <w:widowControl/>
        <w:spacing w:lineRule="auto" w:line="360"/>
        <w:rPr>
          <w:rFonts w:ascii="Times New Roman" w:hAnsi="Times New Roman" w:cs="Times New Roman" w:eastAsia="Times New Roman"/>
          <w:sz w:val="24"/>
          <w:color w:val="000000"/>
        </w:rPr>
      </w:pPr>
      <w:bookmarkStart w:id="87" w:name="art163p"/>
      <w:bookmarkEnd w:id="87"/>
      <w:r>
        <w:rPr>
          <w:rFonts w:ascii="Times New Roman" w:hAnsi="Times New Roman" w:cs="Times New Roman" w:eastAsia="Times New Roman"/>
          <w:b/>
          <w:sz w:val="24"/>
          <w:color w:val="000000"/>
        </w:rPr>
        <w:t>20.13.</w:t>
      </w:r>
      <w:r>
        <w:rPr>
          <w:rFonts w:ascii="Times New Roman" w:hAnsi="Times New Roman" w:cs="Times New Roman" w:eastAsia="Times New Roman"/>
          <w:sz w:val="24"/>
          <w:color w:val="000000"/>
        </w:rPr>
        <w:t xml:space="preserve"> A sanção pelas infrações previstas nas alíneas “h” e “m” do item 20.2 do presente Edital exigirá, como condição de reabilitação do licitante ou contratado, a implantação ou aperfeiçoamento de programa de integridade pelo responsável.</w:t>
      </w:r>
    </w:p>
    <w:p>
      <w:pPr>
        <w:jc w:val="both"/>
        <w:widowControl/>
        <w:spacing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widowControl/>
        <w:spacing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21. PEDIDOS DE ESCLARECIMENTOS E IMPUGNAÇÕES</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21.1. </w:t>
      </w:r>
      <w:r>
        <w:rPr>
          <w:rFonts w:ascii="Times New Roman" w:hAnsi="Times New Roman" w:cs="Times New Roman" w:eastAsia="Times New Roman"/>
          <w:sz w:val="24"/>
        </w:rPr>
        <w:t xml:space="preserve">Os pedidos de esclarecimentos referentes ao processo licitatório e os pedidos de impugnações poderão ser enviados ao pregoeiro, até três dias úteis anteriores à data fixada para abertura da sessão pública, por meio do seguinte endereço eletrônico: </w:t>
      </w:r>
      <w:hyperlink r:id="hrId11">
        <w:r>
          <w:rPr>
            <w:rFonts w:ascii="Times New Roman" w:hAnsi="Times New Roman" w:cs="Times New Roman" w:eastAsia="Times New Roman"/>
            <w:u w:val="single"/>
            <w:sz w:val="24"/>
            <w:color w:val="0000FF"/>
          </w:rPr>
          <w:t>compras@quatroirmaos.rs.gov.br</w:t>
        </w:r>
      </w:hyperlink>
      <w:r>
        <w:rPr>
          <w:rFonts w:ascii="Times New Roman" w:hAnsi="Times New Roman" w:cs="Times New Roman" w:eastAsia="Times New Roman"/>
          <w:sz w:val="24"/>
        </w:rPr>
        <w:t xml:space="preserve"> ou </w:t>
      </w:r>
      <w:hyperlink r:id="hrId12">
        <w:r>
          <w:rPr>
            <w:rFonts w:ascii="Times New Roman" w:hAnsi="Times New Roman" w:cs="Times New Roman" w:eastAsia="Times New Roman"/>
            <w:u w:val="single"/>
            <w:sz w:val="24"/>
            <w:color w:val="0000FF"/>
          </w:rPr>
          <w:t>contabilidade@quatroirmaos.rs.gov.br.</w:t>
        </w:r>
      </w:hyperlink>
      <w:r>
        <w:rPr>
          <w:rFonts w:ascii="Times New Roman" w:hAnsi="Times New Roman" w:cs="Times New Roman" w:eastAsia="Times New Roman"/>
          <w:sz w:val="24"/>
        </w:rPr>
        <w:t xml:space="preserve">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21.2.</w:t>
      </w:r>
      <w:r>
        <w:rPr>
          <w:rFonts w:ascii="Times New Roman" w:hAnsi="Times New Roman" w:cs="Times New Roman" w:eastAsia="Times New Roman"/>
          <w:sz w:val="24"/>
        </w:rPr>
        <w:t xml:space="preserve">  As respostas aos pedidos de esclarecimentos e às impugnações serão divulgadas no seguinte sítio eletrônico da Administração.</w:t>
      </w:r>
    </w:p>
    <w:p>
      <w:pPr>
        <w:jc w:val="both"/>
        <w:widowControl/>
        <w:spacing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
      </w:r>
    </w:p>
    <w:p>
      <w:pPr>
        <w:jc w:val="both"/>
        <w:widowControl/>
        <w:spacing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22. DAS DISPOSIÇÕES GERAIS:</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22.1. </w:t>
      </w:r>
      <w:r>
        <w:rPr>
          <w:rFonts w:ascii="Times New Roman" w:hAnsi="Times New Roman" w:cs="Times New Roman" w:eastAsia="Times New Roman"/>
          <w:sz w:val="24"/>
        </w:rPr>
        <w:t>A proponente que vier a ser contratada ficará obrigada a aceitar, nas mesmas condições contratuais, os acréscimos ou supressões que se fizerem necessários, por conveniência da Administração, dentro do limite permitido pelo artigo 125 da Lei nº 14.133/2021, sobre o valor inicial atualizado do contratado.</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22.2. </w:t>
      </w:r>
      <w:r>
        <w:rPr>
          <w:rFonts w:ascii="Times New Roman" w:hAnsi="Times New Roman" w:cs="Times New Roman" w:eastAsia="Times New Roman"/>
          <w:sz w:val="24"/>
        </w:rPr>
        <w:t>Após a apresentação da proposta, não caberá desistência, salvo por motivo justo decorrente de fato superveniente e aceito pelo pregoeiro</w:t>
      </w:r>
      <w:r>
        <w:rPr>
          <w:rFonts w:ascii="Times New Roman" w:hAnsi="Times New Roman" w:cs="Times New Roman" w:eastAsia="Times New Roman"/>
          <w:vertAlign w:val="superscript"/>
          <w:sz w:val="24"/>
        </w:rPr>
        <w:footnoteReference w:id="1"/>
      </w:r>
      <w:r>
        <w:rPr>
          <w:rFonts w:ascii="Times New Roman" w:hAnsi="Times New Roman" w:cs="Times New Roman" w:eastAsia="Times New Roman"/>
          <w:sz w:val="24"/>
        </w:rPr>
        <w:t>.</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22.3.</w:t>
      </w:r>
      <w:r>
        <w:rPr>
          <w:rFonts w:ascii="Times New Roman" w:hAnsi="Times New Roman" w:cs="Times New Roman" w:eastAsia="Times New Roman"/>
          <w:sz w:val="24"/>
        </w:rPr>
        <w:t xml:space="preserve"> A Administração tem a prerrogativa de fiscalizar o cumprimento satisfatório do objeto da presente licitação, por meio de agente designado para tal função, conforme o disposto na Lei nº 14.133/2021.</w:t>
      </w:r>
    </w:p>
    <w:p>
      <w:pPr>
        <w:jc w:val="both"/>
        <w:widowControl/>
        <w:spacing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22.4. </w:t>
      </w:r>
      <w:r>
        <w:rPr>
          <w:rFonts w:ascii="Times New Roman" w:hAnsi="Times New Roman" w:cs="Times New Roman" w:eastAsia="Times New Roman"/>
          <w:sz w:val="24"/>
        </w:rPr>
        <w:t xml:space="preserve">Fica eleito o Foro da Comarca de Erechim para dirimir quaisquer litígios oriundos da licitação e do contrato dela decorrente, com expressa renúncia a outro qualquer, por mais privilegiado que seja. </w:t>
      </w:r>
    </w:p>
    <w:p>
      <w:pPr>
        <w:jc w:val="both"/>
        <w:widowControl/>
        <w:ind w:firstLine="1418"/>
        <w:spacing w:lineRule="auto" w:line="360"/>
      </w:pP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ab/>
      </w:r>
    </w:p>
    <w:p>
      <w:pPr>
        <w:jc w:val="both"/>
        <w:widowControl/>
        <w:spacing w:lineRule="auto" w:line="360"/>
        <w:tabs>
          <w:tab w:val="left" w:pos="1134"/>
        </w:tabs>
        <w:rPr>
          <w:rFonts w:ascii="Times New Roman" w:hAnsi="Times New Roman" w:cs="Times New Roman" w:eastAsia="Times New Roman"/>
        </w:rPr>
      </w:pPr>
      <w:r>
        <w:rPr>
          <w:rFonts w:ascii="Times New Roman" w:hAnsi="Times New Roman" w:cs="Times New Roman" w:eastAsia="Times New Roman"/>
        </w:rPr>
        <w:t/>
      </w:r>
    </w:p>
    <w:p>
      <w:pPr>
        <w:jc w:val="center"/>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Quatro Irmãos, 17/09/2026</w:t>
      </w:r>
    </w:p>
    <w:p>
      <w:pPr>
        <w:jc w:val="center"/>
        <w:pBdr>
          <w:top w:val="" w:sz="6"/>
          <w:left w:val="" w:sz="6"/>
          <w:bottom w:val="" w:sz="6"/>
          <w:right w:val="" w:sz="6"/>
          <w:between w:val="" w:sz="6"/>
        </w:pBdr>
        <w:rPr>
          <w:rFonts w:ascii="Times New Roman" w:hAnsi="Times New Roman" w:cs="Times New Roman" w:eastAsia="Times New Roman"/>
        </w:rPr>
      </w:pPr>
      <w:r>
        <w:rPr>
          <w:rFonts w:ascii="Times New Roman" w:hAnsi="Times New Roman" w:cs="Times New Roman" w:eastAsia="Times New Roman"/>
        </w:rPr>
        <w:t/>
      </w:r>
    </w:p>
    <w:p>
      <w:pPr>
        <w:jc w:val="center"/>
        <w:pBdr>
          <w:top w:val="" w:sz="6"/>
          <w:left w:val="" w:sz="6"/>
          <w:bottom w:val="" w:sz="6"/>
          <w:right w:val="" w:sz="6"/>
          <w:between w:val="" w:sz="6"/>
        </w:pBdr>
        <w:rPr>
          <w:rFonts w:ascii="Times New Roman" w:hAnsi="Times New Roman" w:cs="Times New Roman" w:eastAsia="Times New Roman"/>
        </w:rPr>
      </w:pPr>
      <w:r>
        <w:rPr>
          <w:rFonts w:ascii="Times New Roman" w:hAnsi="Times New Roman" w:cs="Times New Roman" w:eastAsia="Times New Roman"/>
        </w:rPr>
        <w:t/>
      </w:r>
    </w:p>
    <w:p>
      <w:pPr>
        <w:jc w:val="center"/>
        <w:pBdr>
          <w:top w:val="" w:sz="6"/>
          <w:left w:val="" w:sz="6"/>
          <w:bottom w:val="" w:sz="6"/>
          <w:right w:val="" w:sz="6"/>
          <w:between w:val="" w:sz="6"/>
        </w:pBdr>
        <w:rPr>
          <w:rFonts w:ascii="Times New Roman" w:hAnsi="Times New Roman" w:cs="Times New Roman" w:eastAsia="Times New Roman"/>
          <w:b/>
          <w:sz w:val="24"/>
        </w:rPr>
      </w:pPr>
      <w:r>
        <w:rPr>
          <w:rFonts w:ascii="Times New Roman" w:hAnsi="Times New Roman" w:cs="Times New Roman" w:eastAsia="Times New Roman"/>
          <w:b/>
          <w:sz w:val="24"/>
        </w:rPr>
        <w:t>JOÃO PAULO BALBINOT</w:t>
      </w:r>
    </w:p>
    <w:p>
      <w:pPr>
        <w:jc w:val="center"/>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Prefeito</w:t>
      </w:r>
    </w:p>
    <w:p>
      <w:r>
        <w:br w:type="page"/>
      </w:r>
    </w:p>
    <w:p>
      <w:pPr>
        <w:jc w:val="center"/>
        <w:keepNext/>
        <w:rPr>
          <w:rFonts w:ascii="Times New Roman" w:hAnsi="Times New Roman" w:cs="Times New Roman" w:eastAsia="Times New Roman"/>
          <w:b/>
          <w:u w:color="auto"/>
          <w:sz w:val="22"/>
        </w:rPr>
      </w:pPr>
      <w:r>
        <w:rPr>
          <w:rFonts w:ascii="Times New Roman" w:hAnsi="Times New Roman" w:cs="Times New Roman" w:eastAsia="Times New Roman"/>
          <w:b/>
          <w:sz w:val="22"/>
        </w:rPr>
        <w:t xml:space="preserve">MINUTA DE CONTRATO Nº </w:t>
      </w:r>
      <w:r>
        <w:rPr>
          <w:rFonts w:ascii="Times New Roman" w:hAnsi="Times New Roman" w:cs="Times New Roman" w:eastAsia="Times New Roman"/>
          <w:b/>
          <w:u w:color="auto"/>
          <w:sz w:val="22"/>
        </w:rPr>
        <w:t>{NRO_CONTRATO}}</w:t>
      </w:r>
    </w:p>
    <w:p>
      <w:pPr>
        <w:widowControl/>
        <w:rPr>
          <w:rFonts w:ascii="Times New Roman" w:hAnsi="Times New Roman" w:cs="Times New Roman" w:eastAsia="Times New Roman"/>
          <w:sz w:val="22"/>
        </w:rPr>
      </w:pPr>
      <w:r>
        <w:rPr>
          <w:rFonts w:ascii="Times New Roman" w:hAnsi="Times New Roman" w:cs="Times New Roman" w:eastAsia="Times New Roman"/>
          <w:sz w:val="22"/>
        </w:rPr>
        <w:t/>
      </w:r>
    </w:p>
    <w:p>
      <w:pPr>
        <w:jc w:val="both"/>
        <w:widowControl/>
        <w:ind w:firstLine="1418"/>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Aos {DT_ASSINATURA_EXTENSO}}, de um lado o Município de Quatro Irmãos, pessoa jurídica de direito público, inscrito no CNPJ sob o nº 04.215.994/0001-14, com sede na Rua Isidoro Eisenberg, s/nº, bairro Centro, cidade de Quatro Irmãos - RS, neste ato representado pelo Prefeito Municipal, JOÃO PAULO BALBINOT, brasileiro(a), maior, residente e domiciliado, Município de Quatro Irmãos-RS, portador(a) do CPF nº 026.157.340-32, doravante denominado simplesmente de CONTRATANTE e, de outro lado, a empresa {NOME_FORN}} estabelecido (a) / {ENDERECO_FORN}}, {ENDERECO_NUM_FORN}} - {BAIRRO_FORN}} na cidade {CIDADE_FORN}}, inscrito (a) no CNPJ/CPF sob o nº {CNPJ_FORN}}, neste ato representado por seu representante legal, doravante denominada simplesmente CONTRATADA, celebram entre si o presente Contrato que será regido pelas cláusulas e condições que seguem.</w:t>
      </w:r>
    </w:p>
    <w:p>
      <w:pPr>
        <w:jc w:val="both"/>
        <w:widowControl/>
        <w:ind w:firstLine="1418"/>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 xml:space="preserve"> </w:t>
      </w:r>
    </w:p>
    <w:p>
      <w:pPr>
        <w:jc w:val="both"/>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PRIMEIRA – DA FUNDAMENTAÇÃO</w:t>
      </w:r>
    </w:p>
    <w:p>
      <w:pPr>
        <w:jc w:val="both"/>
        <w:widowControl/>
        <w:tabs>
          <w:tab w:val="left" w:pos="1418"/>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O presente instrumento é fundamentado no procedimento realizado pela CONTRATANTE através Processo Geral n° {NRO_PROC_LICITACAO}}, {MODALIDADE_LICITACAO}}/{NRO_MODALIDADE_LICITACAO}} e na proposta vencedora, conforme termos de homologação e de adjudicação, e se regerá pelas cláusulas aqui previstas, bem como pelas normas da Lei Federal nº 14.133/2021 (inclusive nos casos omissos), suas alterações posteriores e demais dispositivos legais aplicáveis.</w:t>
      </w:r>
    </w:p>
    <w:p>
      <w:pPr>
        <w:jc w:val="both"/>
        <w:widowControl/>
        <w:tabs>
          <w:tab w:val="left" w:pos="1418"/>
        </w:tabs>
        <w:rPr>
          <w:rFonts w:ascii="Times New Roman" w:hAnsi="Times New Roman" w:cs="Times New Roman" w:eastAsia="Times New Roman"/>
          <w:sz w:val="22"/>
        </w:rPr>
      </w:pPr>
      <w:r>
        <w:rPr>
          <w:rFonts w:ascii="Times New Roman" w:hAnsi="Times New Roman" w:cs="Times New Roman" w:eastAsia="Times New Roman"/>
          <w:sz w:val="22"/>
        </w:rPr>
        <w:t/>
      </w:r>
    </w:p>
    <w:p>
      <w:pPr>
        <w:jc w:val="both"/>
        <w:widowControl/>
        <w:rPr>
          <w:rFonts w:ascii="Times New Roman" w:hAnsi="Times New Roman" w:cs="Times New Roman" w:eastAsia="Times New Roman"/>
          <w:b/>
          <w:sz w:val="22"/>
        </w:rPr>
      </w:pPr>
      <w:r>
        <w:rPr>
          <w:rFonts w:ascii="Times New Roman" w:hAnsi="Times New Roman" w:cs="Times New Roman" w:eastAsia="Times New Roman"/>
          <w:b/>
          <w:sz w:val="22"/>
        </w:rPr>
        <w:t>CLÁUSULA SEGUNDA – DO OBJETO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O presente contrato tem por objeto o fornecimento de {OBJETO_COMPLETO_CONTRATO}} pela CONTRATADA, conforme proposta vencedora.</w:t>
      </w:r>
    </w:p>
    <w:p>
      <w:pPr>
        <w:jc w:val="both"/>
        <w:rPr>
          <w:rFonts w:ascii="Times New Roman" w:hAnsi="Times New Roman" w:cs="Times New Roman" w:eastAsia="Times New Roman"/>
          <w:sz w:val="16"/>
        </w:rPr>
      </w:pPr>
      <w:r>
        <w:rPr>
          <w:rFonts w:ascii="Times New Roman" w:hAnsi="Times New Roman" w:cs="Times New Roman" w:eastAsia="Times New Roman"/>
          <w:sz w:val="16"/>
        </w:rPr>
        <w:t>{LISTA_ITENS_LICITACAO_FORNECEDOR}}</w:t>
      </w:r>
    </w:p>
    <w:p>
      <w:pPr>
        <w:jc w:val="both"/>
        <w:rPr>
          <w:rFonts w:ascii="Times New Roman" w:hAnsi="Times New Roman" w:cs="Times New Roman" w:eastAsia="Times New Roman"/>
          <w:sz w:val="24"/>
        </w:rPr>
      </w:pPr>
      <w:r>
        <w:rPr>
          <w:rFonts w:ascii="Times New Roman" w:hAnsi="Times New Roman" w:cs="Times New Roman" w:eastAsia="Times New Roman"/>
          <w:sz w:val="24"/>
        </w:rPr>
        <w:t/>
      </w:r>
    </w:p>
    <w:p>
      <w:pPr>
        <w:outlineLvl w:val="2"/>
        <w:keepNext/>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 xml:space="preserve">CLÁUSULA TERCEIRA </w:t>
      </w:r>
      <w:r>
        <w:rPr>
          <w:rFonts w:ascii="Times New Roman" w:hAnsi="Times New Roman" w:cs="Times New Roman" w:eastAsia="Times New Roman"/>
          <w:sz w:val="22"/>
        </w:rPr>
        <w:t xml:space="preserve">- </w:t>
      </w:r>
      <w:r>
        <w:rPr>
          <w:rFonts w:ascii="Times New Roman" w:hAnsi="Times New Roman" w:cs="Times New Roman" w:eastAsia="Times New Roman"/>
          <w:b/>
          <w:sz w:val="22"/>
        </w:rPr>
        <w:t>DO PRAZO, FORMA E LOCAL DO FORNECIMENTO</w:t>
      </w:r>
    </w:p>
    <w:p>
      <w:pPr>
        <w:jc w:val="both"/>
        <w:widowControl/>
        <w:tabs>
          <w:tab w:val="left" w:pos="1418"/>
          <w:tab w:val="left" w:pos="2552"/>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3.1. O prazo para o fornecimento do objeto é de conforme está descrito no processo licitatório que deu origem ao presente contrato.</w:t>
      </w:r>
    </w:p>
    <w:p>
      <w:pPr>
        <w:jc w:val="both"/>
        <w:widowControl/>
        <w:tabs>
          <w:tab w:val="left" w:pos="1418"/>
          <w:tab w:val="left" w:pos="2552"/>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3.2. O objeto deverá ser entregue/prestado de acordo com previsto no processo licitatório e na proposta vencedora da licitação.</w:t>
      </w:r>
    </w:p>
    <w:p>
      <w:pPr>
        <w:jc w:val="both"/>
        <w:widowControl/>
        <w:tabs>
          <w:tab w:val="left" w:pos="1418"/>
          <w:tab w:val="left" w:pos="2552"/>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3.3. Aplicam-se ao presente contrato os seguintes prazos:</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 - O prazo de vigência do terá como prazo inicial dia {DT_VIGENCIA_INICIAL}} e prazo final dia {DT_VIGENCIA_FINAL}}.</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Parágrafo único. O presente contrato poderá ser prorrogado sucessivamente, respeitada a vigência máxima decenal, mediante demonstração de que as condições e os preços permanecem vantajosos para a CONTRATANTE, sendo permitidas eventuais negociações entre as partes.</w:t>
      </w:r>
    </w:p>
    <w:p>
      <w:pPr>
        <w:jc w:val="both"/>
        <w:widowControl/>
        <w:tabs>
          <w:tab w:val="left" w:pos="1418"/>
          <w:tab w:val="left" w:pos="4253"/>
        </w:tabs>
      </w:pPr>
      <w:r>
        <w:rPr>
          <w:rFonts w:ascii="Times New Roman" w:hAnsi="Times New Roman" w:cs="Times New Roman" w:eastAsia="Times New Roman"/>
          <w:b/>
          <w:sz w:val="22"/>
        </w:rPr>
        <w:tab/>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QUARTA– DO PREÇO</w:t>
      </w:r>
    </w:p>
    <w:p>
      <w:pPr>
        <w:jc w:val="both"/>
        <w:widowControl/>
        <w:tabs>
          <w:tab w:val="left" w:pos="1418"/>
        </w:tabs>
        <w:rPr>
          <w:rFonts w:ascii="Times New Roman" w:hAnsi="Times New Roman" w:cs="Times New Roman" w:eastAsia="Times New Roman"/>
          <w:sz w:val="22"/>
        </w:rPr>
      </w:pPr>
      <w:r>
        <w:rPr>
          <w:rFonts w:ascii="Times New Roman" w:hAnsi="Times New Roman" w:cs="Times New Roman" w:eastAsia="Times New Roman"/>
          <w:b/>
          <w:sz w:val="22"/>
        </w:rPr>
        <w:tab/>
      </w:r>
      <w:r>
        <w:rPr>
          <w:rFonts w:ascii="Times New Roman" w:hAnsi="Times New Roman" w:cs="Times New Roman" w:eastAsia="Times New Roman"/>
          <w:sz w:val="22"/>
        </w:rPr>
        <w:t>O preço a ser pago pelo fornecimento do objeto do presente contrato é de R$ {VALOR_CONTRATO}} ({VALOR_CONTRATO_EXTENSO}}), conforme a proposta ofertada pela CONTRATADA.</w:t>
      </w:r>
    </w:p>
    <w:p>
      <w:pPr>
        <w:jc w:val="both"/>
        <w:widowControl/>
        <w:tabs>
          <w:tab w:val="left" w:pos="1418"/>
        </w:tabs>
        <w:rPr>
          <w:rFonts w:ascii="Times New Roman" w:hAnsi="Times New Roman" w:cs="Times New Roman" w:eastAsia="Times New Roman"/>
          <w:sz w:val="22"/>
        </w:rPr>
      </w:pPr>
      <w:r>
        <w:rPr>
          <w:rFonts w:ascii="Times New Roman" w:hAnsi="Times New Roman" w:cs="Times New Roman" w:eastAsia="Times New Roman"/>
          <w:sz w:val="22"/>
        </w:rPr>
        <w:t/>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QUINTA – DO PAGAMENTO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 xml:space="preserve">O pagamento será efetuado {FORMA_PAGAMENTO_CONTRATO}}, mediante a entrega do objeto e a apresentação de nota fiscal e aprovação da fiscalização da CONTRATANTE. </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Parágrafo único. Se o término desse prazo coincidir com dia não útil, considerar-se-á como vencimento o primeiro dia útil imediatamente posterior.</w:t>
      </w:r>
      <w:r>
        <w:rPr>
          <w:rFonts w:ascii="Times New Roman" w:hAnsi="Times New Roman" w:cs="Times New Roman" w:eastAsia="Times New Roman"/>
          <w:sz w:val="22"/>
        </w:rPr>
        <w:tab/>
      </w:r>
    </w:p>
    <w:p>
      <w:pPr>
        <w:jc w:val="both"/>
        <w:widowControl/>
        <w:tabs>
          <w:tab w:val="left" w:pos="1418"/>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SEXTA – DO RECURSO FINANCEIRO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As despesas do presente contrato correrão à conta da seguinte dotação orçamentária:</w:t>
      </w:r>
    </w:p>
    <w:p>
      <w:pPr>
        <w:jc w:val="both"/>
        <w:widowControl/>
        <w:tabs>
          <w:tab w:val="left" w:pos="1418"/>
          <w:tab w:val="left" w:pos="4253"/>
        </w:tabs>
        <w:rPr>
          <w:rFonts w:ascii="Times New Roman" w:hAnsi="Times New Roman" w:cs="Times New Roman" w:eastAsia="Times New Roman"/>
        </w:rPr>
      </w:pPr>
      <w:r>
        <w:rPr>
          <w:rFonts w:ascii="Times New Roman" w:hAnsi="Times New Roman" w:cs="Times New Roman" w:eastAsia="Times New Roman"/>
        </w:rPr>
        <w:t>{DESCRITIVO_DOTACOES_CONTRATOS}}</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jc w:val="both"/>
        <w:widowControl/>
        <w:tabs>
          <w:tab w:val="left" w:pos="1418"/>
        </w:tabs>
        <w:rPr>
          <w:rFonts w:ascii="Times New Roman" w:hAnsi="Times New Roman" w:cs="Times New Roman" w:eastAsia="Times New Roman"/>
          <w:b/>
          <w:sz w:val="22"/>
        </w:rPr>
      </w:pPr>
      <w:r>
        <w:rPr>
          <w:rFonts w:ascii="Times New Roman" w:hAnsi="Times New Roman" w:cs="Times New Roman" w:eastAsia="Times New Roman"/>
          <w:b/>
          <w:sz w:val="22"/>
        </w:rPr>
        <w:t>CLÁUSULA SÉTIMA – DA ATUALIZAÇÃO MONETÁRIA</w:t>
      </w:r>
    </w:p>
    <w:p>
      <w:pPr>
        <w:jc w:val="both"/>
        <w:widowControl/>
        <w:tabs>
          <w:tab w:val="left" w:pos="1418"/>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Ocorrendo atraso no pagamento, os valores serão atualizados monetariamente pelo índice IPCA do período, ou outro índice que vier a substituí-lo, e a CONTRATANTE compensará a CONTRATADA com juros de 0,5% ao mês calculados pró-rata dia, até o efetivo pagamento.</w:t>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 xml:space="preserve">CLÁUSULA OITAVA – DO REAJUSTAMENTO </w:t>
      </w:r>
    </w:p>
    <w:p>
      <w:pPr>
        <w:jc w:val="both"/>
        <w:widowControl/>
        <w:tabs>
          <w:tab w:val="left" w:pos="1418"/>
        </w:tabs>
        <w:rPr>
          <w:rFonts w:ascii="Times New Roman" w:hAnsi="Times New Roman" w:cs="Times New Roman" w:eastAsia="Times New Roman"/>
          <w:sz w:val="22"/>
        </w:rPr>
      </w:pPr>
      <w:r>
        <w:rPr>
          <w:rFonts w:ascii="Times New Roman" w:hAnsi="Times New Roman" w:cs="Times New Roman" w:eastAsia="Times New Roman"/>
          <w:b/>
          <w:sz w:val="22"/>
        </w:rPr>
        <w:tab/>
      </w:r>
      <w:r>
        <w:rPr>
          <w:rFonts w:ascii="Times New Roman" w:hAnsi="Times New Roman" w:cs="Times New Roman" w:eastAsia="Times New Roman"/>
          <w:sz w:val="22"/>
        </w:rPr>
        <w:t xml:space="preserve">O valor relativo ao objeto do presente contrato poderá ser reajustado a contar da data-base vinculada à data do orçamento estimado, através do índice IPCA ou índice que vier a substitui-lo; </w:t>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NONA – DO REEQUILÍBRIO ECONÔMICO-FINANCEIRO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Diante da ocorrência de fatos imprevisíveis ou previsíveis de consequências incalculáveis que venham a inviabilizar a execução do contrato nos termos inicialmente pactuados, será possível a alteração dos valores pactuados visando o restabelecimento do equilíbrio econômico-financeiro, mediante comprovação e respeitando a repartição objetiva de risco estabelecida.</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Parágrafo único. Em sendo solicitado o reequilíbrio econômico-financeiro, a CONTRATANTE responderá ao pedido dentro do prazo máximo de 15 (quinze) dias contados da data do fornecimento da documentação que o instruiu.</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widowControl/>
        <w:tabs>
          <w:tab w:val="left" w:pos="1418"/>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DÉCIMA – DAS OBRIGAÇÕES DA CONTRATANTE</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São obrigações da CONTRATANTE:</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 - Efetuar o devido pagamento à CONTRATADA, nos termos do presente instrumento;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II - Dar à CONTRATADA as condições necessárias à regular execução do contrato;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III - Determinar as providências necessárias quando o fornecimento do objeto não observar a forma estipulada no edital e no presente contrato, sem prejuízo da aplicação das sanções cabíveis, quando for o caso;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IV - Designar servidor pertencente ao quadro da CONTRATANTE, para ser responsável pelo acompanhamento e fiscalização da execução do objeto do presente contrato;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V - Cumprir todas as demais cláusulas do presente contrato.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jc w:val="both"/>
        <w:widowControl/>
        <w:tabs>
          <w:tab w:val="left" w:pos="1418"/>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DÉCIMA PRIMEIRA – DAS OBRIGAÇÕES DA CONTRATADA</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São obrigações da CONTRATADA:</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 - Fornecer o objeto de acordo com as especificações, quantidade e prazos do edital e do presente contrato, bem como nos termos da sua proposta;</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II - Responsabilizar-se por todos os ônus e tributos, emolumentos, honorários ou despesas incidentes sobre o objeto contratados, bem como por cumprir todas as obrigações trabalhistas, previdenciárias e acidentárias relativas aos funcionários que empregar para a execução do objeto, inclusive as decorrentes de convenções, acordos ou dissídios coletivos;</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III - Manter durante a execução do contrato, em compatibilidade com as obrigações assumidas, todas as condições de habilitação e qualificação exigidas na licitação, apresentando, mensalmente, cópia das guias de recolhimento das contribuições para o FGTS e o INSS relativas aos empregados alocados para a execução do contrato, bem como da certidão negativa de débitos trabalhistas (CNDT);</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IV – Cumprir as exigências de reserva de cargos prevista em lei, bem como em outras normas específicas, para pessoa com deficiência, para reabilitado da Previdência Social e para aprendiz;</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V - Zelar pelo cumprimento, por parte de seus empregados, das normas do Ministério do Trabalho, cabendo à CONTRATADA o fornecimento de equipamentos de proteção individual (EPI);</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VI - Responsabilizar-se por todos os danos causados por seus funcionários à CONTRATANTE e/ou terceiros, decorrentes de culpa ou dolo, devidamente apurados mediante processo administrativo, quando da execução do objeto contratado;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VII - Reparar e/ou corrigir, às suas expensas, o fornecimento em que se verificar vícios, defeitos ou incorreções resultantes da execução do objeto em desacordo com o pactuado;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VIII - Executar as obrigações assumidas no presente contrato por seus próprios meios, não sendo admitida a subcontratação não prevista em edital e no presente contrato.</w:t>
      </w:r>
    </w:p>
    <w:p>
      <w:pPr>
        <w:jc w:val="both"/>
        <w:widowControl/>
        <w:tabs>
          <w:tab w:val="left" w:pos="1418"/>
          <w:tab w:val="left" w:pos="4253"/>
        </w:tabs>
      </w:pPr>
      <w:r>
        <w:rPr>
          <w:rFonts w:ascii="Times New Roman" w:hAnsi="Times New Roman" w:cs="Times New Roman" w:eastAsia="Times New Roman"/>
          <w:sz w:val="22"/>
        </w:rPr>
        <w:tab/>
      </w:r>
      <w:r>
        <w:rPr>
          <w:rFonts w:ascii="Times New Roman" w:hAnsi="Times New Roman" w:cs="Times New Roman" w:eastAsia="Times New Roman"/>
          <w:sz w:val="22"/>
        </w:rPr>
        <w:tab/>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DÉCIMA SEGUNDA – DA GESTÃO DO CONTRATO</w:t>
      </w:r>
    </w:p>
    <w:p>
      <w:pPr>
        <w:jc w:val="both"/>
        <w:widowControl/>
        <w:tabs>
          <w:tab w:val="left" w:pos="1418"/>
          <w:tab w:val="left" w:pos="4253"/>
        </w:tabs>
        <w:rPr>
          <w:rFonts w:ascii="Times New Roman" w:hAnsi="Times New Roman" w:cs="Times New Roman" w:eastAsia="Times New Roman"/>
          <w:sz w:val="22"/>
          <w:color w:val="FF0000"/>
        </w:rPr>
      </w:pPr>
      <w:r>
        <w:rPr>
          <w:rFonts w:ascii="Times New Roman" w:hAnsi="Times New Roman" w:cs="Times New Roman" w:eastAsia="Times New Roman"/>
          <w:b/>
          <w:sz w:val="22"/>
        </w:rPr>
        <w:tab/>
      </w:r>
      <w:r>
        <w:rPr>
          <w:rFonts w:ascii="Times New Roman" w:hAnsi="Times New Roman" w:cs="Times New Roman" w:eastAsia="Times New Roman"/>
          <w:sz w:val="22"/>
          <w:color w:val="FF0000"/>
        </w:rPr>
        <w:t>I - A execução do contrato deverá ser acompanhada e fiscalizada por {RESPONSAVEL_CONTRATO}} ({CARGO_RESPONSAVEL_CONTRATO}} ou por seu respectivo substituto;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II - Dentre as responsabilidades do(s) fiscal(is) está a necessidade de anotar, em registro próprio, todas as ocorrências relacionadas à execução do contrato, inclusive quando de seu fiel cumprimento, determinando o que for necessário para a regularização de eventuais faltas ou defeitos observados;</w:t>
      </w:r>
    </w:p>
    <w:p>
      <w:pPr>
        <w:jc w:val="both"/>
        <w:widowControl/>
        <w:tabs>
          <w:tab w:val="left" w:pos="1418"/>
          <w:tab w:val="left" w:pos="4253"/>
        </w:tabs>
      </w:pPr>
      <w:r>
        <w:rPr>
          <w:rFonts w:ascii="Times New Roman" w:hAnsi="Times New Roman" w:cs="Times New Roman" w:eastAsia="Times New Roman"/>
          <w:sz w:val="22"/>
        </w:rPr>
        <w:tab/>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DÉCIMA TERCEIRA – DO RECEBIMENTO DO OBJETO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O objeto do presente contrato será recebido: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 xml:space="preserve">I - Provisoriamente, de forma sumária, pelo responsável por seu acompanhamento e fiscalização, designado pela CONTRATANTE, com verificação posterior da conformidade do material com as exigências contratuais. </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 xml:space="preserve">II - Definitivamente por servidor ou comissão designada pela autoridade competente, mediante assinatura de termo circunstanciado comprovando o atendimento das exigências contratuais. </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Parágrafo único. O recebimento provisório ou definitivo não eximirá a CONTRATADA de eventual responsabilização em âmbito civil pela perfeita execução do contrato.</w:t>
      </w:r>
    </w:p>
    <w:p>
      <w:pPr>
        <w:jc w:val="both"/>
        <w:widowControl/>
        <w:tabs>
          <w:tab w:val="left" w:pos="1418"/>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DÉCIMA QUARTA – DAS PENALIDADES</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A CONTRATADA estará sujeita às seguintes penalidades:</w:t>
      </w:r>
    </w:p>
    <w:p>
      <w:pPr>
        <w:jc w:val="both"/>
        <w:widowControl/>
        <w:tabs>
          <w:tab w:val="clear" w:pos="-19"/>
          <w:tab w:val="clear" w:pos="-4"/>
        </w:tabs>
        <w:rPr>
          <w:rFonts w:ascii="Times New Roman" w:hAnsi="Times New Roman" w:cs="Times New Roman" w:eastAsia="Times New Roman"/>
          <w:sz w:val="22"/>
        </w:rPr>
      </w:pPr>
      <w:r>
        <w:rPr>
          <w:rFonts w:ascii="Times New Roman" w:hAnsi="Times New Roman" w:cs="Times New Roman" w:eastAsia="Times New Roman"/>
          <w:b/>
          <w:sz w:val="22"/>
        </w:rPr>
        <w:tab/>
      </w:r>
      <w:bookmarkStart w:id="88" w:name="art156i"/>
      <w:bookmarkEnd w:id="88"/>
      <w:r>
        <w:rPr>
          <w:rFonts w:ascii="Times New Roman" w:hAnsi="Times New Roman" w:cs="Times New Roman" w:eastAsia="Times New Roman"/>
          <w:b/>
          <w:sz w:val="22"/>
        </w:rPr>
        <w:t>a)</w:t>
      </w:r>
      <w:r>
        <w:rPr>
          <w:rFonts w:ascii="Times New Roman" w:hAnsi="Times New Roman" w:cs="Times New Roman" w:eastAsia="Times New Roman"/>
          <w:sz w:val="22"/>
        </w:rPr>
        <w:t xml:space="preserve"> advertência;</w:t>
      </w:r>
    </w:p>
    <w:p>
      <w:pPr>
        <w:jc w:val="both"/>
        <w:widowControl/>
        <w:rPr>
          <w:rFonts w:ascii="Times New Roman" w:hAnsi="Times New Roman" w:cs="Times New Roman" w:eastAsia="Times New Roman"/>
          <w:sz w:val="22"/>
        </w:rPr>
      </w:pPr>
      <w:r>
        <w:rPr>
          <w:rFonts w:ascii="Times New Roman" w:hAnsi="Times New Roman" w:cs="Times New Roman" w:eastAsia="Times New Roman"/>
          <w:b/>
          <w:sz w:val="22"/>
        </w:rPr>
        <w:tab/>
      </w:r>
      <w:bookmarkStart w:id="89" w:name="art156ii"/>
      <w:bookmarkEnd w:id="89"/>
      <w:r>
        <w:rPr>
          <w:rFonts w:ascii="Times New Roman" w:hAnsi="Times New Roman" w:cs="Times New Roman" w:eastAsia="Times New Roman"/>
          <w:b/>
          <w:sz w:val="22"/>
        </w:rPr>
        <w:t>b)</w:t>
      </w:r>
      <w:r>
        <w:rPr>
          <w:rFonts w:ascii="Times New Roman" w:hAnsi="Times New Roman" w:cs="Times New Roman" w:eastAsia="Times New Roman"/>
          <w:sz w:val="22"/>
        </w:rPr>
        <w:t xml:space="preserve"> multa de no mínimo 0,5% (cinco décimos por cento) e máximo de 30% (trinta por cento) do valor do objeto licitado ou contratado;</w:t>
      </w:r>
    </w:p>
    <w:p>
      <w:pPr>
        <w:jc w:val="both"/>
        <w:widowControl/>
        <w:rPr>
          <w:rFonts w:ascii="Times New Roman" w:hAnsi="Times New Roman" w:cs="Times New Roman" w:eastAsia="Times New Roman"/>
          <w:sz w:val="22"/>
        </w:rPr>
      </w:pPr>
      <w:r>
        <w:rPr>
          <w:rFonts w:ascii="Times New Roman" w:hAnsi="Times New Roman" w:cs="Times New Roman" w:eastAsia="Times New Roman"/>
          <w:b/>
          <w:sz w:val="22"/>
        </w:rPr>
        <w:tab/>
      </w:r>
      <w:bookmarkStart w:id="90" w:name="art156iii"/>
      <w:bookmarkEnd w:id="90"/>
      <w:r>
        <w:rPr>
          <w:rFonts w:ascii="Times New Roman" w:hAnsi="Times New Roman" w:cs="Times New Roman" w:eastAsia="Times New Roman"/>
          <w:b/>
          <w:sz w:val="22"/>
        </w:rPr>
        <w:t>c)</w:t>
      </w:r>
      <w:r>
        <w:rPr>
          <w:rFonts w:ascii="Times New Roman" w:hAnsi="Times New Roman" w:cs="Times New Roman" w:eastAsia="Times New Roman"/>
          <w:sz w:val="22"/>
        </w:rPr>
        <w:t xml:space="preserve"> impedimento de licitar e contratar, no âmbito da Administração Pública direta e indireta do órgão licitante, pelo prazo máximo de 3 (três) anos.</w:t>
      </w:r>
    </w:p>
    <w:p>
      <w:pPr>
        <w:jc w:val="both"/>
        <w:widowControl/>
        <w:rPr>
          <w:rFonts w:ascii="Times New Roman" w:hAnsi="Times New Roman" w:cs="Times New Roman" w:eastAsia="Times New Roman"/>
          <w:sz w:val="22"/>
        </w:rPr>
      </w:pPr>
      <w:r>
        <w:rPr>
          <w:rFonts w:ascii="Times New Roman" w:hAnsi="Times New Roman" w:cs="Times New Roman" w:eastAsia="Times New Roman"/>
          <w:b/>
          <w:sz w:val="22"/>
        </w:rPr>
        <w:tab/>
      </w:r>
      <w:bookmarkStart w:id="91" w:name="art156iv"/>
      <w:bookmarkEnd w:id="91"/>
      <w:r>
        <w:rPr>
          <w:rFonts w:ascii="Times New Roman" w:hAnsi="Times New Roman" w:cs="Times New Roman" w:eastAsia="Times New Roman"/>
          <w:b/>
          <w:sz w:val="22"/>
        </w:rPr>
        <w:t>d)</w:t>
      </w:r>
      <w:r>
        <w:rPr>
          <w:rFonts w:ascii="Times New Roman" w:hAnsi="Times New Roman" w:cs="Times New Roman" w:eastAsia="Times New Roman"/>
          <w:sz w:val="22"/>
        </w:rPr>
        <w:t xml:space="preserve"> declaração de inidoneidade para licitar ou contratar</w:t>
      </w:r>
      <w:bookmarkStart w:id="92" w:name="art156_5"/>
      <w:bookmarkEnd w:id="92"/>
      <w:r>
        <w:rPr>
          <w:rFonts w:ascii="Times New Roman" w:hAnsi="Times New Roman" w:cs="Times New Roman" w:eastAsia="Times New Roman"/>
          <w:sz w:val="22"/>
        </w:rPr>
        <w:t xml:space="preserve"> no âmbito da Administração Pública direta e indireta de todos os entes federativos, pelo prazo mínimo de 3 (três) anos e máximo de 6 (seis) anos.</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 xml:space="preserve">CLÁUSULA DÉCIMA QUINTA – DA EXTINÇÃO </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 xml:space="preserve">As hipóteses que constituem motivo para extinção contratual estão elencadas no art. 137 da Lei nº 14.133/2021, que poderão se dar, após assegurados o contraditório e a ampla defesa à CONTRATADA. </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A extinção do contrato poderá ser:</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 - determinada por ato unilateral e escrito da Administração, exceto no caso de descumprimento decorrente de sua própria conduta;</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II - consensual, por acordo entre as partes, por conciliação, por mediação ou por comitê de resolução de disputas, desde que haja interesse da Administração;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III - determinada por decisão arbitral, em decorrência de cláusula compromissória ou compromisso arbitral, ou por decisão judicial.</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DÉCIMA SEXTA – DO FORO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As partes elegem o foro da Comarca de Erechim para dirimir quaisquer questões relacionadas ao presente contrato.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E, por estarem justos e contratados, firmam o presente instrumento em 02 (duas) vias de igual teor e forma.</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jc w:val="center"/>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Quatro Irmãos - RS{DT_ASSINATURA_EXTENSO}}</w:t>
      </w:r>
    </w:p>
    <w:p>
      <w:pPr>
        <w:jc w:val="both"/>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jc w:val="cente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______________________</w:t>
      </w:r>
    </w:p>
    <w:p>
      <w:pPr>
        <w:jc w:val="cente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JOÃO PAULO BALBINOT</w:t>
      </w:r>
    </w:p>
    <w:p>
      <w:pPr>
        <w:jc w:val="cente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Prefeito Municipal</w:t>
      </w:r>
    </w:p>
    <w:p>
      <w:pPr>
        <w:jc w:val="cente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jc w:val="cente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______________________</w:t>
      </w:r>
    </w:p>
    <w:p>
      <w:pPr>
        <w:jc w:val="cente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{NOME_FORN}}</w:t>
      </w:r>
    </w:p>
    <w:p>
      <w:pPr>
        <w:jc w:val="cente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Representante da CONTRATADO</w:t>
      </w:r>
    </w:p>
    <w:p>
      <w:pPr>
        <w:jc w:val="cente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Testemunhas:</w:t>
      </w:r>
    </w:p>
    <w:p>
      <w:pP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widowControl/>
        <w:rPr>
          <w:rFonts w:ascii="Times New Roman" w:hAnsi="Times New Roman" w:cs="Times New Roman" w:eastAsia="Times New Roman"/>
          <w:b/>
          <w:sz w:val="22"/>
        </w:rPr>
      </w:pPr>
      <w:r>
        <w:rPr>
          <w:rFonts w:ascii="Times New Roman" w:hAnsi="Times New Roman" w:cs="Times New Roman" w:eastAsia="Times New Roman"/>
          <w:b/>
          <w:sz w:val="22"/>
        </w:rPr>
        <w:t xml:space="preserve">     __________________________          </w:t>
      </w:r>
      <w:r>
        <w:rPr>
          <w:rFonts w:ascii="Times New Roman" w:hAnsi="Times New Roman" w:cs="Times New Roman" w:eastAsia="Times New Roman"/>
          <w:b/>
          <w:sz w:val="22"/>
        </w:rPr>
        <w:tab/>
      </w:r>
      <w:r>
        <w:rPr>
          <w:rFonts w:ascii="Times New Roman" w:hAnsi="Times New Roman" w:cs="Times New Roman" w:eastAsia="Times New Roman"/>
          <w:b/>
          <w:sz w:val="22"/>
        </w:rPr>
        <w:tab/>
      </w:r>
      <w:r>
        <w:rPr>
          <w:rFonts w:ascii="Times New Roman" w:hAnsi="Times New Roman" w:cs="Times New Roman" w:eastAsia="Times New Roman"/>
          <w:b/>
          <w:sz w:val="22"/>
        </w:rPr>
        <w:t xml:space="preserve">   _____________________________</w:t>
      </w:r>
    </w:p>
    <w:p>
      <w:pPr>
        <w:widowControl/>
        <w:rPr>
          <w:rFonts w:ascii="Times New Roman" w:hAnsi="Times New Roman" w:cs="Times New Roman" w:eastAsia="Times New Roman"/>
          <w:sz w:val="22"/>
        </w:rPr>
      </w:pPr>
      <w:r>
        <w:rPr>
          <w:rFonts w:ascii="Times New Roman" w:hAnsi="Times New Roman" w:cs="Times New Roman" w:eastAsia="Times New Roman"/>
          <w:sz w:val="22"/>
        </w:rPr>
        <w:t/>
      </w:r>
    </w:p>
    <w:p>
      <w:pP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sectPr>
      <w:headerReference w:type="default" r:id="rIdHF0"/>
      <w:pgSz w:w="11906" w:h="16838"/>
      <w:pgMar w:top="1417" w:right="850" w:bottom="1417" w:left="1984" w:header="567" w:footer="567" w:gutter="0"/>
    </w:sectPr>
  </w:body>
</w:document>
</file>

<file path=word/fontTable.xml><?xml version="1.0" encoding="utf-8"?>
<w:fonts xmlns:r="http://schemas.openxmlformats.org/officeDocument/2006/relationships" xmlns:w="http://schemas.openxmlformats.org/wordprocessingml/2006/main">
  <w:font w:name="Arial">
    <w:charset w:val="01"/>
  </w:font>
  <w:font w:name="Tahoma">
    <w:charset w:val="01"/>
  </w:font>
  <w:font w:name="Arial">
    <w:charset w:val="00"/>
  </w:font>
  <w:font w:name="Times New Roman">
    <w:charset w:val="00"/>
  </w:font>
  <w:font w:name="Courier New">
    <w:charset w:val="00"/>
  </w:font>
  <w:font w:name="Times New Roman">
    <w:charset w:val="01"/>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 w:id="1">
    <w:p>
      <w:pPr>
        <w:jc w:val="both"/>
        <w:widowControl/>
        <w:spacing w:lineRule="auto" w:line="360"/>
        <w:tabs>
          <w:tab w:val="left" w:pos="1134"/>
        </w:tabs>
      </w:pPr>
      <w:r>
        <w:rPr>
          <w:vertAlign w:val="superscript"/>
          <w:sz w:val="24"/>
        </w:rPr>
        <w:footnoteRef/>
      </w:r>
      <w:r>
        <w:t xml:space="preserve"> Essa disposição não consta na Lei nº 14.133/2021.</w:t>
      </w:r>
    </w:p>
  </w:footnote>
</w:footnotes>
</file>

<file path=word/header.xml><?xml version="1.0" encoding="utf-8"?>
<w:hdr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14="http://schemas.microsoft.com/office/word/2010/wordprocessingDrawing" xmlns:w14="http://schemas.microsoft.com/office/word/2010/wordml" xmlns:wne="http://schemas.microsoft.com/office/word/2006/wordml" xmlns:wps="http://schemas.microsoft.com/office/word/2010/wordprocessingShape" xmlns:mc="http://schemas.openxmlformats.org/markup-compatibility/2006" mc:Ignorable="wp14">
  <w:p>
    <w:pPr>
      <w:pBdr>
        <w:top w:val="" w:sz="6"/>
        <w:left w:val="" w:sz="6"/>
        <w:bottom w:val="" w:sz="6"/>
        <w:right w:val="" w:sz="6"/>
        <w:between w:val="" w:sz="6"/>
      </w:pBdr>
    </w:pPr>
    <w:r>
      <w:drawing>
        <wp:inline distT="0" distB="0" distL="0" distR="0">
          <wp:extent cx="5419725" cy="895350"/>
          <wp:effectExtent l="0" t="0" r="0" b="0"/>
          <wp:docPr id="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jpg"/>
                  <pic:cNvPicPr/>
                </pic:nvPicPr>
                <pic:blipFill>
                  <a:blip r:embed="prId1" cstate="print"/>
                  <a:stretch>
                    <a:fillRect/>
                  </a:stretch>
                </pic:blipFill>
                <pic:spPr>
                  <a:xfrm>
                    <a:off x="0" y="0"/>
                    <a:ext cx="5419725" cy="895350"/>
                  </a:xfrm>
                  <a:prstGeom prst="rect">
                    <a:avLst/>
                  </a:prstGeom>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w:zoom w:percent="100"/>
  <w:displayBackgroundShape/>
  <w:compa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pPrDefault>
      <w:pPr>
        <w:spacing w:after="0" w:before="0" w:line="240" w:lineRule="auto"/>
        <w:widowControl w:val="0"/>
      </w:pPr>
    </w:pPrDefault>
    <w:rPrDefault>
      <w:rPr>
        <w:rFonts w:ascii="Arial" w:hAnsi="Arial" w:cs="Arial" w:eastAsia="Arial"/>
        <w:sz w:val="20"/>
      </w:rPr>
    </w:rPrDefault>
  </w:docDefaults>
  <w:style w:type="paragraph" w:default="1" w:styleId="0">
    <w:name w:val="Normal"/>
    <w:qFormat/>
  </w:style>
</w:styles>
</file>

<file path=word/_rels/document.xml.rels><?xml version="1.0" encoding="UTF-8" standalone="yes"?>
<Relationships xmlns="http://schemas.openxmlformats.org/package/2006/relationships"><Relationship Id="rIdFT" Type="http://schemas.openxmlformats.org/officeDocument/2006/relationships/fontTable" Target="fontTable.xml"/><Relationship Id="rIdSt" Type="http://schemas.openxmlformats.org/officeDocument/2006/relationships/styles" Target="styles.xml"/><Relationship Id="rIdHF0" Type="http://schemas.openxmlformats.org/officeDocument/2006/relationships/header" Target="header.xml"/><Relationship Id="rIdHF1" Type="http://schemas.openxmlformats.org/officeDocument/2006/relationships/footer" Target="footer.xml"/><Relationship Id="rIdHF2" Type="http://schemas.openxmlformats.org/officeDocument/2006/relationships/header" Target="headerFirstPage.xml"/><Relationship Id="rIdHF3" Type="http://schemas.openxmlformats.org/officeDocument/2006/relationships/footer" Target="footerFirstPage.xml"/><Relationship Id="rIdHF4" Type="http://schemas.openxmlformats.org/officeDocument/2006/relationships/header" Target="headerEvenPages.xml"/><Relationship Id="rIdHF5" Type="http://schemas.openxmlformats.org/officeDocument/2006/relationships/footer" Target="footerEvenPages.xml"/><Relationship Id="rIdFn" Type="http://schemas.openxmlformats.org/officeDocument/2006/relationships/footnotes" Target="footnotes.xml"/><Relationship Id="rIdSet" Type="http://schemas.openxmlformats.org/officeDocument/2006/relationships/settings" Target="settings.xml"/><Relationship Id="hrId1" Type="http://schemas.openxmlformats.org/officeDocument/2006/relationships/hyperlink" Target="https://quatroirmaos.msgestaopublica.app.br:8079/comprasedital" TargetMode="External"/><Relationship Id="hrId2" Type="http://schemas.openxmlformats.org/officeDocument/2006/relationships/hyperlink" Target="https://quatroirmaos.msgestaopublica.app.br:8079/comprasedital" TargetMode="External"/><Relationship Id="hrId3" Type="http://schemas.openxmlformats.org/officeDocument/2006/relationships/hyperlink" Target="http://transparencia.quatroirmaos.rs.gov.br:8079/comprasedital/" TargetMode="External"/><Relationship Id="hrId4" Type="http://schemas.openxmlformats.org/officeDocument/2006/relationships/hyperlink" Target="mailto:compras@quatroirmaos.rs.gov.br" TargetMode="External"/><Relationship Id="hrId5" Type="http://schemas.openxmlformats.org/officeDocument/2006/relationships/hyperlink" Target="mailto:contabilidade@quatroirmaos.rs.gov.br" TargetMode="External"/><Relationship Id="hrId6" Type="http://schemas.openxmlformats.org/officeDocument/2006/relationships/hyperlink" Target="http://www.planalto.gov.br/ccivil_03/Constituicao/Constituicao.htm" TargetMode="External"/><Relationship Id="hrId7" Type="http://schemas.openxmlformats.org/officeDocument/2006/relationships/hyperlink" Target="http://www.planalto.gov.br/ccivil_03/LEIS/L6404consol.htm" TargetMode="External"/><Relationship Id="hrId8" Type="http://schemas.openxmlformats.org/officeDocument/2006/relationships/hyperlink" Target="www.quatroirmaos.rs.gov.br" TargetMode="External"/><Relationship Id="hrId9" Type="http://schemas.openxmlformats.org/officeDocument/2006/relationships/hyperlink" Target="http://www.planalto.gov.br/ccivil_03/_Ato2007-2010/2009/Lei/L12187.htm" TargetMode="External"/><Relationship Id="hrId10" Type="http://schemas.openxmlformats.org/officeDocument/2006/relationships/hyperlink" Target="http://www.planalto.gov.br/ccivil_03/_Ato2011-2014/2013/Lei/L12846.htm" TargetMode="External"/><Relationship Id="hrId11" Type="http://schemas.openxmlformats.org/officeDocument/2006/relationships/hyperlink" Target="mailto:compras@quatroirmaos.rs.gov.br" TargetMode="External"/><Relationship Id="hrId12" Type="http://schemas.openxmlformats.org/officeDocument/2006/relationships/hyperlink" Target="mailto:contabilidade@quatroirmaos.rs.gov.br" TargetMode="External"/></Relationships>
</file>

<file path=word/_rels/header.xml.rels><?xml version="1.0" encoding="UTF-8" standalone="yes"?>
<Relationships xmlns="http://schemas.openxmlformats.org/package/2006/relationships"><Relationship Id="prId1" Type="http://schemas.openxmlformats.org/officeDocument/2006/relationships/image" Target="media/img1.jpg"/></Relationships>
</file>