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xml" ContentType="application/vnd.openxmlformats-officedocument.wordprocessingml.header+xml"/>
  <Override PartName="/word/footer.xml" ContentType="application/vnd.openxmlformats-officedocument.wordprocessingml.footer+xml"/>
  <Override PartName="/word/headerFirstPage.xml" ContentType="application/vnd.openxmlformats-officedocument.wordprocessingml.header+xml"/>
  <Override PartName="/word/footerFirstPage.xml" ContentType="application/vnd.openxmlformats-officedocument.wordprocessingml.footer+xml"/>
  <Override PartName="/word/headerEvenPages.xml" ContentType="application/vnd.openxmlformats-officedocument.wordprocessingml.header+xml"/>
  <Override PartName="/word/footerEvenPages.xml" ContentType="application/vnd.openxmlformats-officedocument.wordprocessingml.footer+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background w:color="FFFFFF"/>
  <w:body>
    <w:p>
      <w:pPr>
        <w:jc w:val="center"/>
        <w:widowControl/>
        <w:spacing w:lineRule="auto" w:line="360"/>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center"/>
        <w:widowControl/>
        <w:spacing w:lineRule="auto" w:line="360"/>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eastAsia="Times New Roman"/>
          <w:b/>
          <w:u w:val="single"/>
          <w:sz w:val="28"/>
        </w:rPr>
      </w:pPr>
      <w:r>
        <w:rPr>
          <w:rFonts w:ascii="Times New Roman" w:hAnsi="Times New Roman" w:cs="Times New Roman" w:eastAsia="Times New Roman"/>
          <w:b/>
          <w:u w:val="single"/>
          <w:sz w:val="28"/>
        </w:rPr>
        <w:t>ESTUDO TÉCNICO PRELIMINAR</w:t>
      </w:r>
    </w:p>
    <w:p>
      <w:pPr>
        <w:jc w:val="both"/>
        <w:widowControl/>
        <w:spacing w:lineRule="auto" w:line="360"/>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ind w:left="3402"/>
        <w:spacing w:lineRule="auto" w:line="360"/>
        <w:rPr>
          <w:rFonts w:ascii="Times New Roman" w:hAnsi="Times New Roman" w:cs="Times New Roman" w:eastAsia="Times New Roman"/>
          <w:b/>
          <w:sz w:val="24"/>
          <w:shd w:val="clear" w:color="auto" w:fill="FFFF00"/>
        </w:rPr>
      </w:pPr>
      <w:r>
        <w:rPr>
          <w:rFonts w:ascii="Times New Roman" w:hAnsi="Times New Roman" w:cs="Times New Roman" w:eastAsia="Times New Roman"/>
          <w:sz w:val="24"/>
        </w:rPr>
        <w:t xml:space="preserve">Necessidade da Administração: </w:t>
      </w:r>
      <w:r>
        <w:rPr>
          <w:rFonts w:ascii="Times New Roman" w:hAnsi="Times New Roman" w:cs="Times New Roman" w:eastAsia="Times New Roman"/>
          <w:b/>
          <w:sz w:val="24"/>
          <w:shd w:val="clear" w:color="auto" w:fill="FFFF00"/>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1. DESCRIÇÃO DA NECESSIDADE</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O objeto da presente é a contratação de empresa especializada para o </w:t>
      </w:r>
      <w:r>
        <w:rPr>
          <w:rFonts w:ascii="Times New Roman" w:hAnsi="Times New Roman" w:cs="Times New Roman" w:eastAsia="Times New Roman"/>
          <w:b/>
          <w:sz w:val="24"/>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2. ALINHAMENTO ENTRE A CONTRATAÇÃO E O PLANEJAMENTO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A contratação pretendida está alinhada com o planejamento desta Administração.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3. DESCRIÇÃO DOS REQUISITOS DA CONTRATAÇÃO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Os bens/serviços ora contratados têm natureza de bens/serviços comuns, tendo em vista que seus </w:t>
      </w:r>
      <w:r>
        <w:rPr>
          <w:rFonts w:ascii="Times New Roman" w:hAnsi="Times New Roman" w:cs="Times New Roman" w:eastAsia="Times New Roman"/>
          <w:sz w:val="24"/>
          <w:color w:val="000000"/>
        </w:rPr>
        <w:t xml:space="preserve">padrões de desempenho e qualidade podem ser objetivamente definidos pelo edital, por meio de especificações usuais de mercado, </w:t>
      </w:r>
      <w:r>
        <w:rPr>
          <w:rFonts w:ascii="Times New Roman" w:hAnsi="Times New Roman" w:cs="Times New Roman" w:eastAsia="Times New Roman"/>
          <w:sz w:val="24"/>
        </w:rPr>
        <w:t>nos termos do art. 6º, inciso XIII, da Lei Federal nº 14.133/2021.</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Os produtos/serviços deverão ser entregues imediatamente após a assinatura do contrato, com o pagamento previsto para ser efetuado mensalmente após a prestação de serviço. A contratação será realizada por meio de PREGÃO ELETRÔNICO (PORTAL DE COMPRAS), com critério de julgamento por Menor Preco Unitario, nos termos da Lei Federal nº 14.133/2021.</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Para fornecimento/prestação dos serviços pretendidos os eventuais interessados deverão comprovar que atuam em ramo de atividade compatível com o objeto da licitação: </w:t>
      </w:r>
      <w:r>
        <w:rPr>
          <w:rFonts w:ascii="Times New Roman" w:hAnsi="Times New Roman" w:cs="Times New Roman" w:eastAsia="Times New Roman"/>
          <w:sz w:val="24"/>
          <w:color w:val="000000"/>
        </w:rPr>
        <w:t xml:space="preserve"> </w:t>
      </w:r>
      <w:r>
        <w:rPr>
          <w:rFonts w:ascii="Times New Roman" w:hAnsi="Times New Roman" w:cs="Times New Roman" w:eastAsia="Times New Roman"/>
          <w:b/>
          <w:sz w:val="24"/>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4. ESTIMATIVA DAS QUANTIDADES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rPr>
        <w:tab/>
      </w:r>
      <w:r>
        <w:rPr>
          <w:rFonts w:ascii="Times New Roman" w:hAnsi="Times New Roman" w:cs="Times New Roman" w:eastAsia="Times New Roman"/>
          <w:sz w:val="24"/>
        </w:rPr>
        <w:t xml:space="preserve">Os quantitativos estimados para a contratação pretendida têm como parâmetro as últimas contratações com o mesmo objeto, realizadas por esta Administração </w:t>
      </w:r>
      <w:r>
        <w:rPr>
          <w:rFonts w:ascii="Times New Roman" w:hAnsi="Times New Roman" w:cs="Times New Roman" w:eastAsia="Times New Roman"/>
          <w:sz w:val="24"/>
          <w:color w:val="000000"/>
        </w:rPr>
        <w:t xml:space="preserve">partindo da Solicitação Interna </w:t>
      </w:r>
      <w:r>
        <w:rPr>
          <w:rFonts w:ascii="Times New Roman" w:hAnsi="Times New Roman" w:cs="Times New Roman" w:eastAsia="Times New Roman"/>
          <w:b/>
          <w:sz w:val="24"/>
          <w:color w:val="000000"/>
        </w:rPr>
        <w:t>nº 00814/26</w:t>
      </w:r>
      <w:r>
        <w:rPr>
          <w:rFonts w:ascii="Times New Roman" w:hAnsi="Times New Roman" w:cs="Times New Roman" w:eastAsia="Times New Roman"/>
          <w:sz w:val="24"/>
          <w:color w:val="000000"/>
        </w:rPr>
        <w:t xml:space="preserve">, que possui como objetivo: </w:t>
      </w:r>
      <w:r>
        <w:rPr>
          <w:rFonts w:ascii="Times New Roman" w:hAnsi="Times New Roman" w:cs="Times New Roman" w:eastAsia="Times New Roman"/>
          <w:b/>
          <w:sz w:val="24"/>
          <w:color w:val="000000"/>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r>
        <w:rPr>
          <w:rFonts w:ascii="Times New Roman" w:hAnsi="Times New Roman" w:cs="Times New Roman" w:eastAsia="Times New Roman"/>
          <w:sz w:val="24"/>
          <w:color w:val="000000"/>
        </w:rPr>
        <w:t>.</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5. ALTERNATIVAS DISPONÍVEIS NO MERCADO</w:t>
      </w:r>
    </w:p>
    <w:p>
      <w:pPr>
        <w:jc w:val="both"/>
        <w:widowControl/>
        <w:spacing w:lineRule="auto" w:line="360"/>
        <w:rPr>
          <w:rFonts w:ascii="Times New Roman" w:hAnsi="Times New Roman" w:cs="Times New Roman" w:eastAsia="Times New Roman"/>
          <w:b/>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Conforme pesquisa de mercado realizada, para solução da necessidade administrativa, objeto do presente Estudo Técnico Preliminar, vislumbra-se possível, sob o aspecto técnico e econômico, a contratação de fornecedores especializados em </w:t>
      </w:r>
      <w:r>
        <w:rPr>
          <w:rFonts w:ascii="Times New Roman" w:hAnsi="Times New Roman" w:cs="Times New Roman" w:eastAsia="Times New Roman"/>
          <w:b/>
          <w:sz w:val="24"/>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6. ESTIMATIVA DO VALOR DA CONTRATAÇÃO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Estima-se para a contratação almejada o valor conforme descrito abaixo:</w:t>
      </w:r>
    </w:p>
    <w:tbl>
      <w:tblPr>
        <w:tblW w:w="5000" w:type="pct"/>
        <w:tblLayout w:type="fixed"/>
        <w:tblCellMar>
          <w:top w:w="0" w:type="dxa"/>
          <w:left w:w="1" w:type="dxa"/>
          <w:bottom w:w="0" w:type="dxa"/>
          <w:right w:w="1" w:type="dxa"/>
        </w:tblCellMar>
        <w:shd w:val="clear" w:color="auto" w:fill="FFFFFF"/>
      </w:tblPr>
      <w:tblGrid>
        <w:gridCol w:w="633"/>
        <w:gridCol w:w="3978"/>
        <w:gridCol w:w="828"/>
        <w:gridCol w:w="828"/>
        <w:gridCol w:w="843"/>
        <w:gridCol w:w="843"/>
        <w:gridCol w:w="843"/>
      </w:tblGrid>
      <w:tr>
        <w:tc>
          <w:tcPr>
            <w:tcW w:w="66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Item</w:t>
            </w:r>
          </w:p>
        </w:tc>
        <w:tc>
          <w:tcPr>
            <w:tcW w:w="400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Descrição do Produto</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Qte</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Unid.</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Marca</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Unit.</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Total</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PRESTAÇÃO DE SERVIÇOS DE ASSESSORIA TRIBUTARIA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Prestação  de serviços , na área de consultoria e assessoria tributária, com fornecimento de licença de uso de software especifico para gerenciamento do IPM(índice de participação do município) na arrecadação do ICMS e do INSS, com suporte técnico pra levantamento dos dados censitários, índices e valores do ICMS ao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Licença de uso de sistema para a gestão do Índice de Participação do Município (IPM) e acompanhamento e arrecadação do ICMS, para a Administração Tributária Municipal, colaborando com a melhoria no VAF do Município, incluindo suporte técnico com equipe especializada, capacitação e orientação aos usuários, de forma presencial.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implantação desta ferramenta deverá possibilitar à Administração Tributária do Município efetuar vários cruzamentos de informações e gerar relatórios de divergências dos dados apurados pela ferramenta.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O sistema deve: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Rodar em servidor(es) hospedado(s) em Internet Data Center (IDC), com administração feita pela CONTRATADA.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As informações deverão ser armazenadas em Sistema Gerenciador de Banco de Dados – SGBD, do tipo relacional.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As interfaces para os usuários envolvidos, devem rodar nos principais navegadores de Internet do mercado, como Mozilla Firefox e Google Chrome.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Deverá ser totalmente desenvolvido com linguagem de programação para plataforma WEB.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Acesso ao módulo através de senha própria de cada usuário (multiusuário).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ferramenta deverá ser compatível com os equipamentos e sistemas atuais do setor de Fiscalização/Administração Tributária da Prefeitura Municipal.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A ferramenta deverá possibilitar a realização de: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exportação de relatórios para os formatos: PDF, HTML e CSV.</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do cadastro de fiscais da Prefeitura Municipal que utilizarão a ferramenta tecnológica com informações como: matrícula, nome do servidor/fiscal, cargo, e-mail, login e senha.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dos contribuintes que contribuem com o ICMS do Município, gerados pelo sistema Apuração dos Índices dos Municípios (AIM), fornecido pela SEFAZ/RS, do tipo empresas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listagem dos contribuintes do tipo empresas da categoria geral por mês/ano.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listagem do cadastro dos contribuintes com informações como: Razão Social e CGC.</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e listagem dos contabilistas, com os seguintes dados: CRC, nome do contabilista, telefone para eventual contato, e-mail e a Razão Social e CGC do seu cliente.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e/ou cadastro dos índices que compõem o Índice de Participação do Município (IPM) liberados pela SEFAZ/RS, tanto de anos passados (retroativo de três anos) quanto do índice provisório (um ano a frente).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cadastramento de máquinas veiculares liberadas pela Prefeitura Municipal para projetos públicos de ajuda a produtores.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da liberação das máquinas veiculares para atendimento a produtores rurais.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gerenciamento dos Códigos Fiscais de Operações e Prestações (CFOP) demonstrando quais são passíveis de Prestação de Serviço, IPI e Substituição Tributária, além das informações como: código CFOP, descrição, grupo, subgrupo e base legal.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por mês e do último mês de exercícios anteriores, das Guias Modelo B (GMB),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do Programa Gerador do Documento de Arrecadação do Simples Nacional (PGDAS-D), fornecidas pela Receita Federal do Brasil (RFB).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 Declaração de Informações Socioeconômicas e Fiscais – DEFIS, fornecidas pela Receita Federal do Brasil (RFB).</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Notas Fiscais eletrônicas de Produtor Rural,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dos cadastros de Produtor Rural,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Transferências Eletrônicas Financeiras (TEF),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Notas Fiscais Eletrônicas (NFe) conjugadas,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importação das informações das publicações provisórias dos produtores rurais, categoria geral, Simples Nacional e empresas de Indústria, Comércio e Serviço (ICS), fornecidas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cruze as informações de faturamento com folha de pagamento e número de funcionários, por contribuintes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compare as informações de estoque próprio e de terceiros, com índices de inicial e final, e cálculo de saldo, além da opção de escolher o modo de classificação e exibição entre maior e menor, por contribuintes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calcule o Valor Adicionado Fiscal (VAF), através das informações de entrada e saída, por contribuintes da categoria geral, dando 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expectativa anual do VAF, por contribuintes da categoria geral, comparando com o VAF atual, além da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variação do VAF expectativa anual, por contribuintes da categoria geral, em relação ao VAF anterior, além da opção de escolher o modo de classificação e exibição entre maior e menor e percentual da variação.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compras de produtor primário do Estado, detalhando por município de origem e valor.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entradas e saídas por Código Fiscal de Operações e Prestações (CFOP),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na substituição tributária,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no IPI,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contribuintes da categoria geral com irregularidades por Código Fiscal de Operações e Prestações (CFOP) com base na prestação de serviço,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envio de notificação aos contribuintes da categoria geral, e ao seu respectivo contabilista,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registro de ações tomadas pelo fiscal aos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visualizar o histórico comparativo dos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transportes, conforme Anexo II, por Razão Social, período base, o total de saídas, total de entradas e o total distribuído. Além de detalhar as saídas para cada município e o valor da saída.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VAF atual com VAF anteriores por contribuinte da categoria geral.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VAF atual com VAF anteriores entre Estado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gráfico comparativo do IPM e o VAF do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da categoria geral,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produtor rural,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prestador de serviço,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optante do Simples Nacional, o comparativo entre o VAF real e o VAF provisório.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por contribuinte da categoria geral, as operações de importação e exportação.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dos produtores rurais, demonstrando o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 valor atribuído referente a serviços de transporte/distribuição de energia, demonstrando: Razão Social,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publicação do provisório do valor sintético de declarações da indústria/comércio/serviços, demonstrando: Razão Social, CGC, ano base, código de atividade econômica, categoria, receita bruta anterior e atual, VAF anterior e atual e diferença entre ele através de percentual.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Avulsas (NFA-e) para Produtor Rural, demonstrando: quantidade de nota emitidas, valor bruto e valor total.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Avulsas (NFA-e) para Produtor Rural, demonstrando: código da Nomenclatura Comum do Mercosul (NCM), descrição, quantidade e unidade, código CFOP, operação de entrada/saída, número da NFe, data, situação junto ao AIM, valor bruto e valor total.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todas as informações das Notas Fiscais Eletrônicas Avulsas (NFA-e) para Produtor Rural, demonstrando: NCM, Descrição, CFOP, Quantidade, Unidade, Valor Bruto, Operação NFE, Data de emissão, Inscrição Estadual do Emitente, UF do Emitente, Inscrição Estadual do Destinatário, UF do Destinatário, Modelo DF, Série NFE, Valor Total NFE, Situação junto ao AIM e Chave Acesso.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VAF por ano base para Produtor Rural, demonstrando: Nome do Produtor Rural, CGC, Ano Base e valor do VAF.</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situação do AIM, CFOP e operação de entrada/saída, demonstrando: Comprador, Produtor, situação junto ao AIM, CFOP, operação de entrada/saída, quantidade de NF, competência e valor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comprador, demonstrando: Comprador,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por produtor, demonstrando: Produtor,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produtores rurais de fora do município e número de notas emitidas.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da produção primária através do NCM e do percentual do produto junto ao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de produção primária com erro de NCM.</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os produtos com erro de NCM.</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NFe de produtor rural agrupados por CFOP.</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comparativo entre as saídas de NFe de produtor rural e o VAF.</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do índice de Participação dos Municípios (IPM), conforme os índices liberados pela SEFAZ/RS,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simule a estimativa de retorno de produtor rural, para o ano base atual, bem como para o ano posterior.</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Notas Fiscais Eletrônicas Conjugadas.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movimentação das Administradoras de Cartões por contribuinte.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comparação entre a movimentação de transferências eletrônicas financeiras e o faturamento declarado pelos contribuintes da categoria geral, além de apontar possível inconsistência entre ambos.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 comparação entre a movimentação de transferências eletrônicas financeiras e o faturamento declarado pelos contribuintes optantes pelo Simples Nacional, além de apontar possível inconsistência entre ambos.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das empresas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por competências de todos os contribuintes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faturamento por atividades do Simples Nacional no município.</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saldo operacional por ano base dos contribuintes optantes pelo Simples Nacional.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as informações socioeconômicas oriundas da DEFIS para análise do saldo operacional das empresas.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relatório que mostre o comparativo da receita pela PGDAS-D e o provisório fornecido pela SEFAZ/RS.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de Comunicação de Verificação de Indícios (CVI), através da análise prévia das Guia de Informação e Apuração do ICMS (GIAS- GMB), com base no Convênio de mútua colaboração como Estado (Lei nº 12.868/07).</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de Comunicação de Verificação de Indícios (CVI), através da análise prévia das PGDAS-D/DEFIS, detalhando: receitas de ICMS, receitas de ISSQN, despesas e saldo operacional, com base no Convênio de mútua colaboração com o Estado (Lei nº 12.868/07).</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sistemática para geração dos formulários para recursos utilizados na interposição das impugnações realizadas pelo fisco municipal junto as NFe de Produtor Rural</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12</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3.100,00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37.200,00</w:t>
            </w:r>
          </w:p>
        </w:tc>
      </w:tr>
    </w:tbl>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Vislumbra-se que tal valor é compatível com o praticado pelo mercado correspondente, observando-se o disposto no Decreto Municipal, que “Estabelece o procedimento administrativo para a realização de pesquisa de preços para aquisição de bens, contratação de serviços em geral e para contratação de obras e serviços de engenharia no âmbito do Município de Quatro Irmãos, nos termos da Lei Federal nº 14.133/2021”.</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7. DESCRIÇÃO DA SOLUÇÃO COMO UM TODO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A solução proposta é </w:t>
      </w:r>
      <w:r>
        <w:rPr>
          <w:rFonts w:ascii="Times New Roman" w:hAnsi="Times New Roman" w:cs="Times New Roman" w:eastAsia="Times New Roman"/>
          <w:b/>
          <w:sz w:val="24"/>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r>
        <w:rPr>
          <w:rFonts w:ascii="Times New Roman" w:hAnsi="Times New Roman" w:cs="Times New Roman" w:eastAsia="Times New Roman"/>
          <w:sz w:val="24"/>
        </w:rPr>
        <w:t>, conforme as seguintes especificações/condições: Os produtos/serviços deverão ser entregues imediatamente após a assinatura do contrato, com o pagamento previsto para ser efetuado mensalmente após a prestação de serviço. A contratação será realizada por meio de PREGÃO ELETRÔNICO (PORTAL DE COMPRAS), com critério de julgamento por Menor Preco Unitario, nos termos da Lei Federal nº 14.133/2021.</w:t>
      </w:r>
    </w:p>
    <w:p>
      <w:pPr>
        <w:jc w:val="both"/>
        <w:widowControl/>
        <w:spacing w:lineRule="auto" w:line="360"/>
        <w:rPr>
          <w:rFonts w:ascii="Times New Roman" w:hAnsi="Times New Roman" w:cs="Times New Roman" w:eastAsia="Times New Roman"/>
          <w:u w:val="single"/>
          <w:sz w:val="24"/>
        </w:rPr>
      </w:pPr>
      <w:r>
        <w:rPr>
          <w:rFonts w:ascii="Times New Roman" w:hAnsi="Times New Roman" w:cs="Times New Roman" w:eastAsia="Times New Roman"/>
          <w:u w:val="single"/>
          <w:sz w:val="24"/>
        </w:rPr>
        <w:t/>
      </w:r>
    </w:p>
    <w:p>
      <w:pPr>
        <w:jc w:val="both"/>
        <w:widowControl/>
        <w:spacing w:lineRule="auto" w:line="360"/>
        <w:rPr>
          <w:rFonts w:ascii="Times New Roman" w:hAnsi="Times New Roman" w:cs="Times New Roman" w:eastAsia="Times New Roman"/>
          <w:b/>
          <w:u w:val="single"/>
          <w:sz w:val="24"/>
        </w:rPr>
      </w:pPr>
      <w:r>
        <w:rPr>
          <w:rFonts w:ascii="Times New Roman" w:hAnsi="Times New Roman" w:cs="Times New Roman" w:eastAsia="Times New Roman"/>
          <w:b/>
          <w:u w:val="single"/>
          <w:sz w:val="24"/>
        </w:rPr>
        <w:t xml:space="preserve">8. . RESULTADOS PRETENDIDOS </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rPr>
        <w:tab/>
      </w:r>
      <w:r>
        <w:rPr>
          <w:rFonts w:ascii="Times New Roman" w:hAnsi="Times New Roman" w:cs="Times New Roman" w:eastAsia="Times New Roman"/>
          <w:sz w:val="24"/>
        </w:rPr>
        <w:t xml:space="preserve">Pretende-se, com o presente processo licitatório, assegurar </w:t>
      </w:r>
      <w:r>
        <w:rPr>
          <w:rFonts w:ascii="Times New Roman" w:hAnsi="Times New Roman" w:cs="Times New Roman" w:eastAsia="Times New Roman"/>
          <w:sz w:val="24"/>
          <w:color w:val="000000"/>
        </w:rPr>
        <w:t>a seleção da proposta apta a gerar a contratação mais vantajosa para o Município.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color w:val="000000"/>
        </w:rPr>
        <w:tab/>
      </w:r>
      <w:r>
        <w:rPr>
          <w:rFonts w:ascii="Times New Roman" w:hAnsi="Times New Roman" w:cs="Times New Roman" w:eastAsia="Times New Roman"/>
          <w:sz w:val="24"/>
          <w:color w:val="000000"/>
        </w:rPr>
        <w:t xml:space="preserve">Almeja-se, igualmente, assegurar tratamento isonômico entre os licitantes, bem como a justa competição, bem como evitar contratação com sobrepreço ou com preço manifestamente inexequível e superfaturamento na execução do contrato. </w:t>
      </w:r>
      <w:r>
        <w:rPr>
          <w:rFonts w:ascii="Times New Roman" w:hAnsi="Times New Roman" w:cs="Times New Roman" w:eastAsia="Times New Roman"/>
          <w:sz w:val="24"/>
        </w:rPr>
        <w:tab/>
      </w:r>
      <w:r>
        <w:rPr>
          <w:rFonts w:ascii="Times New Roman" w:hAnsi="Times New Roman" w:cs="Times New Roman" w:eastAsia="Times New Roman"/>
          <w:sz w:val="24"/>
        </w:rPr>
        <w:t xml:space="preserve">A contratação decorrente do presente processo licitatório exigirá da contratada o cumprimento das boas práticas de sustentabilidade, contribuindo para a racionalização e otimização do uso dos recursos, bem como para a redução dos impactos ambientais.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lineRule="auto" w:line="360"/>
        <w:rPr>
          <w:rFonts w:ascii="Times New Roman" w:hAnsi="Times New Roman" w:cs="Times New Roman" w:eastAsia="Times New Roman"/>
          <w:b/>
          <w:u w:val="single"/>
          <w:sz w:val="24"/>
          <w:color w:val="000000"/>
        </w:rPr>
      </w:pPr>
      <w:bookmarkStart w:id="0" w:name="art18_1x"/>
      <w:bookmarkEnd w:id="0"/>
      <w:r>
        <w:rPr>
          <w:rFonts w:ascii="Times New Roman" w:hAnsi="Times New Roman" w:cs="Times New Roman" w:eastAsia="Times New Roman"/>
          <w:b/>
          <w:u w:val="single"/>
          <w:sz w:val="24"/>
          <w:color w:val="000000"/>
        </w:rPr>
        <w:t>9. PROVIDÊNCIAS PRÉVIAS AO CONTRATO</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ab/>
      </w:r>
      <w:r>
        <w:rPr>
          <w:rFonts w:ascii="Times New Roman" w:hAnsi="Times New Roman" w:cs="Times New Roman" w:eastAsia="Times New Roman"/>
          <w:sz w:val="24"/>
          <w:color w:val="000000"/>
        </w:rPr>
        <w:t>Para a contratação pretendida não haverá necessidade de providências prévias no âmbito da Administração. A Secretaria de Administração indicará servidores para atuarem como gestor e fiscal do contrato.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 xml:space="preserve">Ademais, para que a pretendida contratação tenha sucesso, é preciso que outras etapas sejam concluídas, quais sejam: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a)</w:t>
      </w:r>
      <w:r>
        <w:rPr>
          <w:rFonts w:ascii="Times New Roman" w:hAnsi="Times New Roman" w:cs="Times New Roman" w:eastAsia="Times New Roman"/>
          <w:sz w:val="24"/>
        </w:rPr>
        <w:t xml:space="preserve"> elaboração de minuta do edital;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b) </w:t>
      </w:r>
      <w:r>
        <w:rPr>
          <w:rFonts w:ascii="Times New Roman" w:hAnsi="Times New Roman" w:cs="Times New Roman" w:eastAsia="Times New Roman"/>
          <w:sz w:val="24"/>
        </w:rPr>
        <w:t xml:space="preserve">realização de certificação de disponibilidade orçamentária;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c)</w:t>
      </w:r>
      <w:r>
        <w:rPr>
          <w:rFonts w:ascii="Times New Roman" w:hAnsi="Times New Roman" w:cs="Times New Roman" w:eastAsia="Times New Roman"/>
          <w:sz w:val="24"/>
        </w:rPr>
        <w:t xml:space="preserve"> designação em Portaria de pregoeiro, equipe de apoio, agente de contratação (conforme o caso);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d)</w:t>
      </w:r>
      <w:r>
        <w:rPr>
          <w:rFonts w:ascii="Times New Roman" w:hAnsi="Times New Roman" w:cs="Times New Roman" w:eastAsia="Times New Roman"/>
          <w:sz w:val="24"/>
        </w:rPr>
        <w:t xml:space="preserve"> elaboração de minuta do contrato;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e)</w:t>
      </w:r>
      <w:r>
        <w:rPr>
          <w:rFonts w:ascii="Times New Roman" w:hAnsi="Times New Roman" w:cs="Times New Roman" w:eastAsia="Times New Roman"/>
          <w:sz w:val="24"/>
        </w:rPr>
        <w:t xml:space="preserve"> encaminhamento do processo para análise jurídica;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f)</w:t>
      </w:r>
      <w:r>
        <w:rPr>
          <w:rFonts w:ascii="Times New Roman" w:hAnsi="Times New Roman" w:cs="Times New Roman" w:eastAsia="Times New Roman"/>
          <w:sz w:val="24"/>
        </w:rPr>
        <w:t xml:space="preserve"> análise da manifestação jurídica e atendimento aos apontamentos constantes no parecer, mediante Nota Técnica com os ajustes indicados;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g)</w:t>
      </w:r>
      <w:r>
        <w:rPr>
          <w:rFonts w:ascii="Times New Roman" w:hAnsi="Times New Roman" w:cs="Times New Roman" w:eastAsia="Times New Roman"/>
          <w:sz w:val="24"/>
        </w:rPr>
        <w:t xml:space="preserve"> publicação e divulgação do edital e anexos;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h)</w:t>
      </w:r>
      <w:r>
        <w:rPr>
          <w:rFonts w:ascii="Times New Roman" w:hAnsi="Times New Roman" w:cs="Times New Roman" w:eastAsia="Times New Roman"/>
          <w:sz w:val="24"/>
        </w:rPr>
        <w:t xml:space="preserve"> resposta a eventuais pedidos de esclarecimentos e/ou impugnação, caso aplicável;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i)</w:t>
      </w:r>
      <w:r>
        <w:rPr>
          <w:rFonts w:ascii="Times New Roman" w:hAnsi="Times New Roman" w:cs="Times New Roman" w:eastAsia="Times New Roman"/>
          <w:sz w:val="24"/>
        </w:rPr>
        <w:t xml:space="preserve"> realização do certame, com suas respectivas etapas;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j)</w:t>
      </w:r>
      <w:r>
        <w:rPr>
          <w:rFonts w:ascii="Times New Roman" w:hAnsi="Times New Roman" w:cs="Times New Roman" w:eastAsia="Times New Roman"/>
          <w:sz w:val="24"/>
        </w:rPr>
        <w:t xml:space="preserve"> realização de empenho; 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b/>
          <w:sz w:val="24"/>
        </w:rPr>
        <w:t>l)</w:t>
      </w:r>
      <w:r>
        <w:rPr>
          <w:rFonts w:ascii="Times New Roman" w:hAnsi="Times New Roman" w:cs="Times New Roman" w:eastAsia="Times New Roman"/>
          <w:sz w:val="24"/>
        </w:rPr>
        <w:t xml:space="preserve"> assinatura e publicação do contrato.  </w:t>
      </w:r>
    </w:p>
    <w:p>
      <w:pPr>
        <w:jc w:val="both"/>
        <w:widowControl/>
        <w:spacing w:lineRule="auto" w:line="36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lineRule="auto" w:line="360"/>
        <w:rPr>
          <w:rFonts w:ascii="Times New Roman" w:hAnsi="Times New Roman" w:cs="Times New Roman" w:eastAsia="Times New Roman"/>
          <w:b/>
          <w:u w:val="single"/>
          <w:sz w:val="24"/>
          <w:color w:val="000000"/>
        </w:rPr>
      </w:pPr>
      <w:r>
        <w:rPr>
          <w:rFonts w:ascii="Times New Roman" w:hAnsi="Times New Roman" w:cs="Times New Roman" w:eastAsia="Times New Roman"/>
          <w:b/>
          <w:u w:val="single"/>
          <w:sz w:val="24"/>
          <w:color w:val="000000"/>
        </w:rPr>
        <w:t>10. CONTRATAÇÕES CORRELATAS E/OU INTERDEPENDENTES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Este estudo não identificou a necessidade de realizar contratações acessórias para a perfeita execução do objeto, uma vez que todos os meios necessários para a aquisição/operacionalização dos serviços podem ser supridos apenas com a contratação ora proposta.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Os bens/serviços que se pretende, portanto, são autônomos e prescindem de contratações correlatas ou interdependentes.</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lineRule="auto" w:line="360"/>
        <w:rPr>
          <w:rFonts w:ascii="Times New Roman" w:hAnsi="Times New Roman" w:cs="Times New Roman" w:eastAsia="Times New Roman"/>
          <w:b/>
          <w:u w:val="single"/>
          <w:sz w:val="24"/>
          <w:color w:val="000000"/>
        </w:rPr>
      </w:pPr>
      <w:bookmarkStart w:id="1" w:name="art18_1xiii"/>
      <w:bookmarkEnd w:id="1"/>
      <w:r>
        <w:rPr>
          <w:rFonts w:ascii="Times New Roman" w:hAnsi="Times New Roman" w:cs="Times New Roman" w:eastAsia="Times New Roman"/>
          <w:b/>
          <w:u w:val="single"/>
          <w:sz w:val="24"/>
          <w:color w:val="000000"/>
        </w:rPr>
        <w:t xml:space="preserve">11. DECLARAÇÃO DE VIABILIDADE </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Com base na justificativa e nas especificações técnicas constantes neste Estudo Técnico Preliminar e seus anexos, e na existência de planejamento orçamentário para subsidiar esta contratação, declaramos que a contratação é viável, atendendo aos padrões e preços de mercado.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O dispêndio financeiro decorrente da contratação ora pretendida decorrerá da dotação orçamentária: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01/04/01 - SECRETARIA DA FAZENDA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04.123.0012.2012.0000 - Atividades da Secretaria Municipal da Fazenda</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3.3.90.35.04 - CONSULTORIA EM TECNOLOGIA DA INFORMAÇÃO E COMUNICAÇÃO (T.I.C</w:t>
      </w:r>
    </w:p>
    <w:p>
      <w:pPr>
        <w:jc w:val="both"/>
        <w:spacing w:before="120" w:after="120" w:lineRule="auto" w:line="360"/>
        <w:rPr>
          <w:rFonts w:ascii="Times New Roman" w:hAnsi="Times New Roman" w:cs="Times New Roman" w:eastAsia="Times New Roman"/>
          <w:sz w:val="24"/>
        </w:rPr>
      </w:pPr>
      <w:r>
        <w:rPr>
          <w:rFonts w:ascii="Times New Roman" w:hAnsi="Times New Roman" w:cs="Times New Roman" w:eastAsia="Times New Roman"/>
          <w:b/>
          <w:sz w:val="24"/>
        </w:rPr>
        <w:t>Ficha</w:t>
      </w:r>
      <w:r>
        <w:rPr>
          <w:rFonts w:ascii="Times New Roman" w:hAnsi="Times New Roman" w:cs="Times New Roman" w:eastAsia="Times New Roman"/>
          <w:sz w:val="24"/>
        </w:rPr>
        <w:t xml:space="preserve"> - 66</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center"/>
        <w:spacing w:lineRule="auto" w:line="360"/>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Quatro Irmãos - RS</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_____________________________</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Solicitante Responsável</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sectPr>
      <w:headerReference w:type="default" r:id="rIdHF0"/>
      <w:pgSz w:w="11906" w:h="16838"/>
      <w:pgMar w:top="1417" w:right="850" w:bottom="1417" w:left="1984" w:header="567" w:footer="567" w:gutter="0"/>
    </w:sectPr>
  </w:body>
</w:document>
</file>

<file path=word/fontTable.xml><?xml version="1.0" encoding="utf-8"?>
<w:fonts xmlns:r="http://schemas.openxmlformats.org/officeDocument/2006/relationships" xmlns:w="http://schemas.openxmlformats.org/wordprocessingml/2006/main">
  <w:font w:name="Arial">
    <w:charset w:val="01"/>
  </w:font>
  <w:font w:name="Tahoma">
    <w:charset w:val="01"/>
  </w:font>
  <w:font w:name="Times New Roman">
    <w:charset w:val="00"/>
  </w:font>
  <w:font w:name="Courier New">
    <w:charset w:val="00"/>
  </w:font>
</w:fonts>
</file>

<file path=word/header.xml><?xml version="1.0" encoding="utf-8"?>
<w:hdr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p>
    <w:pPr>
      <w:pBdr>
        <w:top w:val="" w:sz="6"/>
        <w:left w:val="" w:sz="6"/>
        <w:bottom w:val="" w:sz="6"/>
        <w:right w:val="" w:sz="6"/>
        <w:between w:val="" w:sz="6"/>
      </w:pBdr>
    </w:pPr>
    <w:r>
      <w:drawing>
        <wp:inline distT="0" distB="0" distL="0" distR="0">
          <wp:extent cx="5419725" cy="895350"/>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prId1" cstate="print"/>
                  <a:stretch>
                    <a:fillRect/>
                  </a:stretch>
                </pic:blipFill>
                <pic:spPr>
                  <a:xfrm>
                    <a:off x="0" y="0"/>
                    <a:ext cx="5419725" cy="895350"/>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w:zoom w:percent="100"/>
  <w:displayBackgroundShape/>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pPrDefault>
      <w:pPr>
        <w:spacing w:after="0" w:before="0" w:line="240" w:lineRule="auto"/>
        <w:widowControl w:val="0"/>
      </w:pPr>
    </w:pPrDefault>
    <w:rPrDefault>
      <w:rPr>
        <w:rFonts w:ascii="Arial" w:hAnsi="Arial" w:cs="Arial" w:eastAsia="Arial"/>
        <w:sz w:val="20"/>
      </w:rPr>
    </w:rPrDefault>
  </w:docDefaults>
  <w:style w:type="paragraph" w:default="1" w:styleId="0">
    <w:name w:val="Normal"/>
    <w:qFormat/>
  </w:style>
</w:styles>
</file>

<file path=word/_rels/document.xml.rels><?xml version="1.0" encoding="UTF-8" standalone="yes"?>
<Relationships xmlns="http://schemas.openxmlformats.org/package/2006/relationships"><Relationship Id="rIdFT" Type="http://schemas.openxmlformats.org/officeDocument/2006/relationships/fontTable" Target="fontTable.xml"/><Relationship Id="rIdSt" Type="http://schemas.openxmlformats.org/officeDocument/2006/relationships/styles" Target="styles.xml"/><Relationship Id="rIdHF0" Type="http://schemas.openxmlformats.org/officeDocument/2006/relationships/header" Target="header.xml"/><Relationship Id="rIdHF1" Type="http://schemas.openxmlformats.org/officeDocument/2006/relationships/footer" Target="footer.xml"/><Relationship Id="rIdHF2" Type="http://schemas.openxmlformats.org/officeDocument/2006/relationships/header" Target="headerFirstPage.xml"/><Relationship Id="rIdHF3" Type="http://schemas.openxmlformats.org/officeDocument/2006/relationships/footer" Target="footerFirstPage.xml"/><Relationship Id="rIdHF4" Type="http://schemas.openxmlformats.org/officeDocument/2006/relationships/header" Target="headerEvenPages.xml"/><Relationship Id="rIdHF5" Type="http://schemas.openxmlformats.org/officeDocument/2006/relationships/footer" Target="footerEvenPages.xml"/><Relationship Id="rIdSet" Type="http://schemas.openxmlformats.org/officeDocument/2006/relationships/settings" Target="settings.xml"/></Relationships>
</file>

<file path=word/_rels/header.xml.rels><?xml version="1.0" encoding="UTF-8" standalone="yes"?>
<Relationships xmlns="http://schemas.openxmlformats.org/package/2006/relationships"><Relationship Id="prId1" Type="http://schemas.openxmlformats.org/officeDocument/2006/relationships/image" Target="media/img1.jpg"/></Relationships>
</file>