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header.xml" ContentType="application/vnd.openxmlformats-officedocument.wordprocessingml.header+xml"/>
  <Override PartName="/word/footer.xml" ContentType="application/vnd.openxmlformats-officedocument.wordprocessingml.footer+xml"/>
  <Override PartName="/word/headerFirstPage.xml" ContentType="application/vnd.openxmlformats-officedocument.wordprocessingml.header+xml"/>
  <Override PartName="/word/footerFirstPage.xml" ContentType="application/vnd.openxmlformats-officedocument.wordprocessingml.footer+xml"/>
  <Override PartName="/word/headerEvenPages.xml" ContentType="application/vnd.openxmlformats-officedocument.wordprocessingml.header+xml"/>
  <Override PartName="/word/footerEvenPages.xml" ContentType="application/vnd.openxmlformats-officedocument.wordprocessingml.footer+xml"/>
  <Override PartName="/word/settings.xml" ContentType="application/vnd.openxmlformats-officedocument.wordprocessingml.setting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p14="http://schemas.microsoft.com/office/word/2010/wordprocessingDrawing" xmlns:w14="http://schemas.microsoft.com/office/word/2010/wordml" xmlns:wne="http://schemas.microsoft.com/office/word/2006/wordml" xmlns:wps="http://schemas.microsoft.com/office/word/2010/wordprocessingShape" xmlns:mc="http://schemas.openxmlformats.org/markup-compatibility/2006" mc:Ignorable="wp14">
  <w:background w:color="FFFFFF"/>
  <w:body>
    <w:p>
      <w:pPr>
        <w:jc w:val="center"/>
        <w:pBdr>
          <w:top w:val="" w:sz="6"/>
          <w:left w:val="" w:sz="6"/>
          <w:bottom w:val="" w:sz="6"/>
          <w:right w:val="" w:sz="6"/>
          <w:between w:val="" w:sz="6"/>
        </w:pBdr>
        <w:rPr>
          <w:rFonts w:ascii="Times New Roman" w:hAnsi="Times New Roman" w:cs="Times New Roman" w:eastAsia="Times New Roman"/>
          <w:b/>
          <w:sz w:val="28"/>
        </w:rPr>
      </w:pPr>
      <w:r>
        <w:rPr>
          <w:rFonts w:ascii="Times New Roman" w:hAnsi="Times New Roman" w:cs="Times New Roman" w:eastAsia="Times New Roman"/>
          <w:b/>
          <w:sz w:val="28"/>
        </w:rPr>
        <w:t/>
      </w:r>
    </w:p>
    <w:p>
      <w:pPr>
        <w:jc w:val="center"/>
        <w:pBdr>
          <w:top w:val="" w:sz="6"/>
          <w:left w:val="" w:sz="6"/>
          <w:bottom w:val="" w:sz="6"/>
          <w:right w:val="" w:sz="6"/>
          <w:between w:val="" w:sz="6"/>
        </w:pBdr>
        <w:rPr>
          <w:rFonts w:ascii="Times New Roman" w:hAnsi="Times New Roman" w:cs="Times New Roman" w:eastAsia="Times New Roman"/>
          <w:b/>
          <w:sz w:val="28"/>
        </w:rPr>
      </w:pPr>
      <w:r>
        <w:rPr>
          <w:rFonts w:ascii="Times New Roman" w:hAnsi="Times New Roman" w:cs="Times New Roman" w:eastAsia="Times New Roman"/>
          <w:b/>
          <w:sz w:val="28"/>
        </w:rPr>
        <w:t>PARECER JURÍDICO EM PROCESSOS LICITATÓRIOS, DE ACORDO COM A LEI FEDERAL Nº 14.133/2021</w:t>
      </w:r>
    </w:p>
    <w:p>
      <w:pPr>
        <w:jc w:val="center"/>
        <w:pBdr>
          <w:top w:val="" w:sz="6"/>
          <w:left w:val="" w:sz="6"/>
          <w:bottom w:val="" w:sz="6"/>
          <w:right w:val="" w:sz="6"/>
          <w:between w:val="" w:sz="6"/>
        </w:pBdr>
        <w:rPr>
          <w:rFonts w:ascii="Times New Roman" w:hAnsi="Times New Roman" w:cs="Times New Roman" w:eastAsia="Times New Roman"/>
          <w:b/>
          <w:sz w:val="24"/>
        </w:rPr>
      </w:pPr>
      <w:r>
        <w:rPr>
          <w:rFonts w:ascii="Times New Roman" w:hAnsi="Times New Roman" w:cs="Times New Roman" w:eastAsia="Times New Roman"/>
          <w:b/>
          <w:sz w:val="24"/>
        </w:rPr>
        <w:t/>
      </w:r>
    </w:p>
    <w:p>
      <w:pPr>
        <w:jc w:val="both"/>
        <w:pBdr>
          <w:top w:val="" w:sz="6"/>
          <w:left w:val="" w:sz="6"/>
          <w:bottom w:val="" w:sz="6"/>
          <w:right w:val="" w:sz="6"/>
          <w:between w:val="" w:sz="6"/>
        </w:pBdr>
        <w:rPr>
          <w:rFonts w:ascii="Times New Roman" w:hAnsi="Times New Roman" w:cs="Times New Roman" w:eastAsia="Times New Roman"/>
          <w:sz w:val="24"/>
        </w:rPr>
      </w:pPr>
      <w:r>
        <w:rPr>
          <w:rFonts w:ascii="Times New Roman" w:hAnsi="Times New Roman" w:cs="Times New Roman" w:eastAsia="Times New Roman"/>
          <w:sz w:val="24"/>
        </w:rPr>
        <w:t/>
      </w:r>
    </w:p>
    <w:p>
      <w:pPr>
        <w:jc w:val="both"/>
        <w:pBdr>
          <w:top w:val="" w:sz="6"/>
          <w:left w:val="" w:sz="6"/>
          <w:bottom w:val="" w:sz="6"/>
          <w:right w:val="" w:sz="6"/>
          <w:between w:val="" w:sz="6"/>
        </w:pBdr>
        <w:rPr>
          <w:rFonts w:ascii="Times New Roman" w:hAnsi="Times New Roman" w:cs="Times New Roman" w:eastAsia="Times New Roman"/>
          <w:b/>
          <w:sz w:val="24"/>
        </w:rPr>
      </w:pPr>
      <w:r>
        <w:rPr>
          <w:rFonts w:ascii="Times New Roman" w:hAnsi="Times New Roman" w:cs="Times New Roman" w:eastAsia="Times New Roman"/>
          <w:i/>
          <w:sz w:val="24"/>
        </w:rPr>
        <w:t>PROCESSO ADMINISTRATIVO Nº</w:t>
      </w:r>
      <w:r>
        <w:rPr>
          <w:rFonts w:ascii="Times New Roman" w:hAnsi="Times New Roman" w:cs="Times New Roman" w:eastAsia="Times New Roman"/>
          <w:b/>
          <w:sz w:val="24"/>
        </w:rPr>
        <w:t xml:space="preserve"> 000434/26</w:t>
      </w:r>
    </w:p>
    <w:p>
      <w:pPr>
        <w:jc w:val="both"/>
        <w:pBdr>
          <w:top w:val="" w:sz="6"/>
          <w:left w:val="" w:sz="6"/>
          <w:bottom w:val="" w:sz="6"/>
          <w:right w:val="" w:sz="6"/>
          <w:between w:val="" w:sz="6"/>
        </w:pBdr>
        <w:rPr>
          <w:rFonts w:ascii="Times New Roman" w:hAnsi="Times New Roman" w:cs="Times New Roman" w:eastAsia="Times New Roman"/>
          <w:b/>
          <w:sz w:val="24"/>
        </w:rPr>
      </w:pPr>
      <w:r>
        <w:rPr>
          <w:rFonts w:ascii="Times New Roman" w:hAnsi="Times New Roman" w:cs="Times New Roman" w:eastAsia="Times New Roman"/>
          <w:i/>
          <w:sz w:val="24"/>
        </w:rPr>
        <w:t xml:space="preserve">Necessidade da Administração: </w:t>
      </w:r>
      <w:r>
        <w:rPr>
          <w:rFonts w:ascii="Times New Roman" w:hAnsi="Times New Roman" w:cs="Times New Roman" w:eastAsia="Times New Roman"/>
          <w:b/>
          <w:sz w:val="24"/>
        </w:rPr>
        <w:t>Aquisição de Uniformes para a turma de Ballet</w:t>
      </w:r>
    </w:p>
    <w:p>
      <w:pPr>
        <w:jc w:val="both"/>
        <w:pBdr>
          <w:top w:val="" w:sz="6"/>
          <w:left w:val="" w:sz="6"/>
          <w:bottom w:val="" w:sz="6"/>
          <w:right w:val="" w:sz="6"/>
          <w:between w:val="" w:sz="6"/>
        </w:pBdr>
        <w:rPr>
          <w:rFonts w:ascii="Times New Roman" w:hAnsi="Times New Roman" w:cs="Times New Roman" w:eastAsia="Times New Roman"/>
          <w:sz w:val="24"/>
        </w:rPr>
      </w:pPr>
      <w:r>
        <w:rPr>
          <w:rFonts w:ascii="Times New Roman" w:hAnsi="Times New Roman" w:cs="Times New Roman" w:eastAsia="Times New Roman"/>
          <w:sz w:val="24"/>
        </w:rPr>
        <w:t/>
      </w:r>
    </w:p>
    <w:p>
      <w:pPr>
        <w:jc w:val="both"/>
        <w:pBdr>
          <w:top w:val="" w:sz="6"/>
          <w:left w:val="" w:sz="6"/>
          <w:bottom w:val="" w:sz="6"/>
          <w:right w:val="" w:sz="6"/>
          <w:between w:val="" w:sz="6"/>
        </w:pBdr>
        <w:rPr>
          <w:rFonts w:ascii="Times New Roman" w:hAnsi="Times New Roman" w:cs="Times New Roman" w:eastAsia="Times New Roman"/>
          <w:b/>
          <w:sz w:val="24"/>
        </w:rPr>
      </w:pPr>
      <w:r>
        <w:rPr>
          <w:rFonts w:ascii="Times New Roman" w:hAnsi="Times New Roman" w:cs="Times New Roman" w:eastAsia="Times New Roman"/>
          <w:sz w:val="24"/>
        </w:rPr>
        <w:t xml:space="preserve">1.  </w:t>
      </w:r>
      <w:r>
        <w:rPr>
          <w:rFonts w:ascii="Times New Roman" w:hAnsi="Times New Roman" w:cs="Times New Roman" w:eastAsia="Times New Roman"/>
          <w:sz w:val="24"/>
        </w:rPr>
        <w:tab/>
      </w:r>
      <w:r>
        <w:rPr>
          <w:rFonts w:ascii="Times New Roman" w:hAnsi="Times New Roman" w:cs="Times New Roman" w:eastAsia="Times New Roman"/>
          <w:sz w:val="24"/>
        </w:rPr>
        <w:tab/>
      </w:r>
      <w:r>
        <w:rPr>
          <w:rFonts w:ascii="Times New Roman" w:hAnsi="Times New Roman" w:cs="Times New Roman" w:eastAsia="Times New Roman"/>
          <w:sz w:val="24"/>
        </w:rPr>
        <w:t xml:space="preserve">Trata-se de processo licitatório, na modalidade </w:t>
      </w:r>
      <w:r>
        <w:rPr>
          <w:rFonts w:ascii="Times New Roman" w:hAnsi="Times New Roman" w:cs="Times New Roman" w:eastAsia="Times New Roman"/>
          <w:b/>
          <w:sz w:val="24"/>
        </w:rPr>
        <w:t>PREGÃO ELETRÔNICO (PORTAL DE COMPRAS)</w:t>
      </w:r>
      <w:r>
        <w:rPr>
          <w:rFonts w:ascii="Times New Roman" w:hAnsi="Times New Roman" w:cs="Times New Roman" w:eastAsia="Times New Roman"/>
          <w:sz w:val="24"/>
        </w:rPr>
        <w:t xml:space="preserve">, com critério de julgamento </w:t>
      </w:r>
      <w:r>
        <w:rPr>
          <w:rFonts w:ascii="Times New Roman" w:hAnsi="Times New Roman" w:cs="Times New Roman" w:eastAsia="Times New Roman"/>
          <w:b/>
          <w:sz w:val="24"/>
        </w:rPr>
        <w:t>Menor Preco Global</w:t>
      </w:r>
      <w:r>
        <w:rPr>
          <w:rFonts w:ascii="Times New Roman" w:hAnsi="Times New Roman" w:cs="Times New Roman" w:eastAsia="Times New Roman"/>
          <w:sz w:val="24"/>
        </w:rPr>
        <w:t xml:space="preserve">, que tem por objeto a contratação de </w:t>
      </w:r>
      <w:r>
        <w:rPr>
          <w:rFonts w:ascii="Times New Roman" w:hAnsi="Times New Roman" w:cs="Times New Roman" w:eastAsia="Times New Roman"/>
          <w:b/>
          <w:sz w:val="24"/>
        </w:rPr>
        <w:t>Aquisição de Uniformes para a turma de Ballet</w:t>
      </w:r>
    </w:p>
    <w:p>
      <w:pPr>
        <w:jc w:val="both"/>
        <w:pBdr>
          <w:top w:val="" w:sz="6"/>
          <w:left w:val="" w:sz="6"/>
          <w:bottom w:val="" w:sz="6"/>
          <w:right w:val="" w:sz="6"/>
          <w:between w:val="" w:sz="6"/>
        </w:pBdr>
        <w:rPr>
          <w:rFonts w:ascii="Times New Roman" w:hAnsi="Times New Roman" w:cs="Times New Roman" w:eastAsia="Times New Roman"/>
          <w:b/>
          <w:sz w:val="24"/>
        </w:rPr>
      </w:pPr>
      <w:r>
        <w:rPr>
          <w:rFonts w:ascii="Times New Roman" w:hAnsi="Times New Roman" w:cs="Times New Roman" w:eastAsia="Times New Roman"/>
          <w:sz w:val="24"/>
        </w:rPr>
        <w:t xml:space="preserve"> </w:t>
      </w:r>
      <w:r>
        <w:rPr>
          <w:rFonts w:ascii="Times New Roman" w:hAnsi="Times New Roman" w:cs="Times New Roman" w:eastAsia="Times New Roman"/>
          <w:sz w:val="24"/>
        </w:rPr>
        <w:tab/>
      </w:r>
      <w:r>
        <w:rPr>
          <w:rFonts w:ascii="Times New Roman" w:hAnsi="Times New Roman" w:cs="Times New Roman" w:eastAsia="Times New Roman"/>
          <w:sz w:val="24"/>
        </w:rPr>
        <w:tab/>
      </w:r>
      <w:r>
        <w:rPr>
          <w:rFonts w:ascii="Times New Roman" w:hAnsi="Times New Roman" w:cs="Times New Roman" w:eastAsia="Times New Roman"/>
          <w:sz w:val="24"/>
        </w:rPr>
        <w:t xml:space="preserve">A contratação pretendida está embasada no documento de formalização de demanda </w:t>
      </w:r>
      <w:r>
        <w:rPr>
          <w:rFonts w:ascii="Times New Roman" w:hAnsi="Times New Roman" w:cs="Times New Roman" w:eastAsia="Times New Roman"/>
          <w:b/>
          <w:sz w:val="24"/>
        </w:rPr>
        <w:t>00598/26.</w:t>
      </w:r>
    </w:p>
    <w:p>
      <w:pPr>
        <w:jc w:val="both"/>
        <w:pBdr>
          <w:top w:val="" w:sz="6"/>
          <w:left w:val="" w:sz="6"/>
          <w:bottom w:val="" w:sz="6"/>
          <w:right w:val="" w:sz="6"/>
          <w:between w:val="" w:sz="6"/>
        </w:pBdr>
        <w:rPr>
          <w:rFonts w:ascii="Times New Roman" w:hAnsi="Times New Roman" w:cs="Times New Roman" w:eastAsia="Times New Roman"/>
          <w:sz w:val="24"/>
        </w:rPr>
      </w:pPr>
      <w:r>
        <w:rPr>
          <w:rFonts w:ascii="Times New Roman" w:hAnsi="Times New Roman" w:cs="Times New Roman" w:eastAsia="Times New Roman"/>
          <w:sz w:val="24"/>
        </w:rPr>
        <w:t xml:space="preserve"> </w:t>
      </w:r>
      <w:r>
        <w:rPr>
          <w:rFonts w:ascii="Times New Roman" w:hAnsi="Times New Roman" w:cs="Times New Roman" w:eastAsia="Times New Roman"/>
          <w:sz w:val="24"/>
        </w:rPr>
        <w:tab/>
      </w:r>
      <w:r>
        <w:rPr>
          <w:rFonts w:ascii="Times New Roman" w:hAnsi="Times New Roman" w:cs="Times New Roman" w:eastAsia="Times New Roman"/>
          <w:sz w:val="24"/>
        </w:rPr>
        <w:tab/>
      </w:r>
      <w:r>
        <w:rPr>
          <w:rFonts w:ascii="Times New Roman" w:hAnsi="Times New Roman" w:cs="Times New Roman" w:eastAsia="Times New Roman"/>
          <w:sz w:val="24"/>
        </w:rPr>
        <w:t xml:space="preserve">A fase preparatória do presente processo licitatório foi instruída com estudo técnico preliminar, termo de referência ou projeto básico, definição das condições de execução e pagamento, orçamento estimado da futura contratação, minutas de edital e de contrato, bem como indicação da modalidade de licitação e critério de julgamento das propostas de preços.  </w:t>
      </w:r>
    </w:p>
    <w:p>
      <w:pPr>
        <w:jc w:val="both"/>
        <w:pBdr>
          <w:top w:val="" w:sz="6"/>
          <w:left w:val="" w:sz="6"/>
          <w:bottom w:val="" w:sz="6"/>
          <w:right w:val="" w:sz="6"/>
          <w:between w:val="" w:sz="6"/>
        </w:pBdr>
        <w:rPr>
          <w:rFonts w:ascii="Times New Roman" w:hAnsi="Times New Roman" w:cs="Times New Roman" w:eastAsia="Times New Roman"/>
          <w:sz w:val="24"/>
        </w:rPr>
      </w:pPr>
      <w:r>
        <w:rPr>
          <w:rFonts w:ascii="Times New Roman" w:hAnsi="Times New Roman" w:cs="Times New Roman" w:eastAsia="Times New Roman"/>
          <w:sz w:val="24"/>
        </w:rPr>
        <w:t xml:space="preserve"> </w:t>
      </w:r>
      <w:r>
        <w:rPr>
          <w:rFonts w:ascii="Times New Roman" w:hAnsi="Times New Roman" w:cs="Times New Roman" w:eastAsia="Times New Roman"/>
          <w:sz w:val="24"/>
        </w:rPr>
        <w:tab/>
      </w:r>
      <w:r>
        <w:rPr>
          <w:rFonts w:ascii="Times New Roman" w:hAnsi="Times New Roman" w:cs="Times New Roman" w:eastAsia="Times New Roman"/>
          <w:sz w:val="24"/>
        </w:rPr>
        <w:tab/>
      </w:r>
      <w:r>
        <w:rPr>
          <w:rFonts w:ascii="Times New Roman" w:hAnsi="Times New Roman" w:cs="Times New Roman" w:eastAsia="Times New Roman"/>
          <w:sz w:val="24"/>
        </w:rPr>
        <w:t>Vieram os autos para exame e parecer, nos termos do art. 53 da Lei Federal nº 14.133/2021.</w:t>
      </w:r>
    </w:p>
    <w:p>
      <w:pPr>
        <w:jc w:val="both"/>
        <w:pBdr>
          <w:top w:val="" w:sz="6"/>
          <w:left w:val="" w:sz="6"/>
          <w:bottom w:val="" w:sz="6"/>
          <w:right w:val="" w:sz="6"/>
          <w:between w:val="" w:sz="6"/>
        </w:pBdr>
        <w:rPr>
          <w:rFonts w:ascii="Times New Roman" w:hAnsi="Times New Roman" w:cs="Times New Roman" w:eastAsia="Times New Roman"/>
          <w:sz w:val="24"/>
        </w:rPr>
      </w:pPr>
      <w:r>
        <w:rPr>
          <w:rFonts w:ascii="Times New Roman" w:hAnsi="Times New Roman" w:cs="Times New Roman" w:eastAsia="Times New Roman"/>
          <w:sz w:val="24"/>
        </w:rPr>
        <w:t/>
      </w:r>
    </w:p>
    <w:p>
      <w:pPr>
        <w:jc w:val="both"/>
        <w:pBdr>
          <w:top w:val="" w:sz="6"/>
          <w:left w:val="" w:sz="6"/>
          <w:bottom w:val="" w:sz="6"/>
          <w:right w:val="" w:sz="6"/>
          <w:between w:val="" w:sz="6"/>
        </w:pBdr>
        <w:rPr>
          <w:rFonts w:ascii="Times New Roman" w:hAnsi="Times New Roman" w:cs="Times New Roman" w:eastAsia="Times New Roman"/>
          <w:sz w:val="24"/>
        </w:rPr>
      </w:pPr>
      <w:r>
        <w:rPr>
          <w:rFonts w:ascii="Times New Roman" w:hAnsi="Times New Roman" w:cs="Times New Roman" w:eastAsia="Times New Roman"/>
          <w:sz w:val="24"/>
        </w:rPr>
        <w:t xml:space="preserve"> </w:t>
      </w:r>
      <w:r>
        <w:rPr>
          <w:rFonts w:ascii="Times New Roman" w:hAnsi="Times New Roman" w:cs="Times New Roman" w:eastAsia="Times New Roman"/>
          <w:sz w:val="24"/>
        </w:rPr>
        <w:tab/>
      </w:r>
      <w:r>
        <w:rPr>
          <w:rFonts w:ascii="Times New Roman" w:hAnsi="Times New Roman" w:cs="Times New Roman" w:eastAsia="Times New Roman"/>
          <w:sz w:val="24"/>
        </w:rPr>
        <w:tab/>
      </w:r>
      <w:r>
        <w:rPr>
          <w:rFonts w:ascii="Times New Roman" w:hAnsi="Times New Roman" w:cs="Times New Roman" w:eastAsia="Times New Roman"/>
          <w:sz w:val="24"/>
        </w:rPr>
        <w:t>É o relatório.</w:t>
      </w:r>
    </w:p>
    <w:p>
      <w:pPr>
        <w:jc w:val="both"/>
        <w:pBdr>
          <w:top w:val="" w:sz="6"/>
          <w:left w:val="" w:sz="6"/>
          <w:bottom w:val="" w:sz="6"/>
          <w:right w:val="" w:sz="6"/>
          <w:between w:val="" w:sz="6"/>
        </w:pBdr>
        <w:rPr>
          <w:rFonts w:ascii="Times New Roman" w:hAnsi="Times New Roman" w:cs="Times New Roman" w:eastAsia="Times New Roman"/>
          <w:sz w:val="24"/>
        </w:rPr>
      </w:pPr>
      <w:r>
        <w:rPr>
          <w:rFonts w:ascii="Times New Roman" w:hAnsi="Times New Roman" w:cs="Times New Roman" w:eastAsia="Times New Roman"/>
          <w:sz w:val="24"/>
        </w:rPr>
        <w:t/>
      </w:r>
    </w:p>
    <w:p>
      <w:pPr>
        <w:jc w:val="both"/>
        <w:pBdr>
          <w:top w:val="" w:sz="6"/>
          <w:left w:val="" w:sz="6"/>
          <w:bottom w:val="" w:sz="6"/>
          <w:right w:val="" w:sz="6"/>
          <w:between w:val="" w:sz="6"/>
        </w:pBdr>
        <w:rPr>
          <w:rFonts w:ascii="Times New Roman" w:hAnsi="Times New Roman" w:cs="Times New Roman" w:eastAsia="Times New Roman"/>
          <w:sz w:val="24"/>
        </w:rPr>
      </w:pPr>
      <w:r>
        <w:rPr>
          <w:rFonts w:ascii="Times New Roman" w:hAnsi="Times New Roman" w:cs="Times New Roman" w:eastAsia="Times New Roman"/>
          <w:sz w:val="24"/>
        </w:rPr>
        <w:t xml:space="preserve"> 2. </w:t>
      </w:r>
      <w:r>
        <w:rPr>
          <w:rFonts w:ascii="Times New Roman" w:hAnsi="Times New Roman" w:cs="Times New Roman" w:eastAsia="Times New Roman"/>
          <w:sz w:val="24"/>
        </w:rPr>
        <w:tab/>
      </w:r>
      <w:r>
        <w:rPr>
          <w:rFonts w:ascii="Times New Roman" w:hAnsi="Times New Roman" w:cs="Times New Roman" w:eastAsia="Times New Roman"/>
          <w:sz w:val="24"/>
        </w:rPr>
        <w:tab/>
      </w:r>
      <w:r>
        <w:rPr>
          <w:rFonts w:ascii="Times New Roman" w:hAnsi="Times New Roman" w:cs="Times New Roman" w:eastAsia="Times New Roman"/>
          <w:sz w:val="24"/>
        </w:rPr>
        <w:t>Com efeito, nos termos do art. 37, inciso XXI, da Constituição da República,  “ressalvados os casos especificados na legislação, as obras, serviços, compras e alienações serão contratados mediante processo de licitação pública que assegure igualdade de condições a todos os concorrentes, com cláusulas que estabeleçam obrigações de pagamento, mantidas as condições efetivas da proposta, nos termos da lei, o qual somente permitirá as exigências de qualificação técnica e econômica indispensáveis à garantia do cumprimento das obrigações”.</w:t>
      </w:r>
    </w:p>
    <w:p>
      <w:pPr>
        <w:jc w:val="both"/>
        <w:pBdr>
          <w:top w:val="" w:sz="6"/>
          <w:left w:val="" w:sz="6"/>
          <w:bottom w:val="" w:sz="6"/>
          <w:right w:val="" w:sz="6"/>
          <w:between w:val="" w:sz="6"/>
        </w:pBdr>
        <w:rPr>
          <w:rFonts w:ascii="Times New Roman" w:hAnsi="Times New Roman" w:cs="Times New Roman" w:eastAsia="Times New Roman"/>
          <w:sz w:val="24"/>
        </w:rPr>
      </w:pPr>
      <w:r>
        <w:rPr>
          <w:rFonts w:ascii="Times New Roman" w:hAnsi="Times New Roman" w:cs="Times New Roman" w:eastAsia="Times New Roman"/>
          <w:sz w:val="24"/>
        </w:rPr>
        <w:t xml:space="preserve"> </w:t>
      </w:r>
      <w:r>
        <w:rPr>
          <w:rFonts w:ascii="Times New Roman" w:hAnsi="Times New Roman" w:cs="Times New Roman" w:eastAsia="Times New Roman"/>
          <w:sz w:val="24"/>
        </w:rPr>
        <w:tab/>
      </w:r>
      <w:r>
        <w:rPr>
          <w:rFonts w:ascii="Times New Roman" w:hAnsi="Times New Roman" w:cs="Times New Roman" w:eastAsia="Times New Roman"/>
          <w:sz w:val="24"/>
        </w:rPr>
        <w:tab/>
      </w:r>
      <w:r>
        <w:rPr>
          <w:rFonts w:ascii="Times New Roman" w:hAnsi="Times New Roman" w:cs="Times New Roman" w:eastAsia="Times New Roman"/>
          <w:sz w:val="24"/>
        </w:rPr>
        <w:t>Trata-se do princípio constitucional do devido processo licitatório, aplicado no caso presente em observância às disposições da Lei Federal nº 14.133/2021.</w:t>
      </w:r>
    </w:p>
    <w:p>
      <w:pPr>
        <w:jc w:val="both"/>
        <w:pBdr>
          <w:top w:val="" w:sz="6"/>
          <w:left w:val="" w:sz="6"/>
          <w:bottom w:val="" w:sz="6"/>
          <w:right w:val="" w:sz="6"/>
          <w:between w:val="" w:sz="6"/>
        </w:pBdr>
        <w:rPr>
          <w:rFonts w:ascii="Times New Roman" w:hAnsi="Times New Roman" w:cs="Times New Roman" w:eastAsia="Times New Roman"/>
          <w:sz w:val="24"/>
        </w:rPr>
      </w:pPr>
      <w:r>
        <w:rPr>
          <w:rFonts w:ascii="Times New Roman" w:hAnsi="Times New Roman" w:cs="Times New Roman" w:eastAsia="Times New Roman"/>
          <w:sz w:val="24"/>
        </w:rPr>
        <w:t/>
      </w:r>
    </w:p>
    <w:p>
      <w:pPr>
        <w:jc w:val="both"/>
        <w:pBdr>
          <w:top w:val="" w:sz="6"/>
          <w:left w:val="" w:sz="6"/>
          <w:bottom w:val="" w:sz="6"/>
          <w:right w:val="" w:sz="6"/>
          <w:between w:val="" w:sz="6"/>
        </w:pBdr>
        <w:rPr>
          <w:rFonts w:ascii="Times New Roman" w:hAnsi="Times New Roman" w:cs="Times New Roman" w:eastAsia="Times New Roman"/>
          <w:sz w:val="24"/>
        </w:rPr>
      </w:pPr>
      <w:r>
        <w:rPr>
          <w:rFonts w:ascii="Times New Roman" w:hAnsi="Times New Roman" w:cs="Times New Roman" w:eastAsia="Times New Roman"/>
          <w:sz w:val="24"/>
        </w:rPr>
        <w:t xml:space="preserve">3. </w:t>
      </w:r>
      <w:r>
        <w:rPr>
          <w:rFonts w:ascii="Times New Roman" w:hAnsi="Times New Roman" w:cs="Times New Roman" w:eastAsia="Times New Roman"/>
          <w:sz w:val="24"/>
        </w:rPr>
        <w:tab/>
      </w:r>
      <w:r>
        <w:rPr>
          <w:rFonts w:ascii="Times New Roman" w:hAnsi="Times New Roman" w:cs="Times New Roman" w:eastAsia="Times New Roman"/>
          <w:sz w:val="24"/>
        </w:rPr>
        <w:tab/>
      </w:r>
      <w:r>
        <w:rPr>
          <w:rFonts w:ascii="Times New Roman" w:hAnsi="Times New Roman" w:cs="Times New Roman" w:eastAsia="Times New Roman"/>
          <w:sz w:val="24"/>
        </w:rPr>
        <w:t>Com efeito, verifica-se que o processo licitatório sob exame tem por objeto a Aquisição de Uniformes para a turma de Ballet a fim de atender à demanda consoante a seguinte motivação:</w:t>
      </w:r>
    </w:p>
    <w:p>
      <w:pPr>
        <w:jc w:val="both"/>
        <w:pBdr>
          <w:top w:val="" w:sz="6"/>
          <w:left w:val="" w:sz="6"/>
          <w:bottom w:val="" w:sz="6"/>
          <w:right w:val="" w:sz="6"/>
          <w:between w:val="" w:sz="6"/>
        </w:pBdr>
        <w:rPr>
          <w:rFonts w:ascii="Times New Roman" w:hAnsi="Times New Roman" w:cs="Times New Roman" w:eastAsia="Times New Roman"/>
          <w:b/>
          <w:i/>
          <w:sz w:val="24"/>
        </w:rPr>
      </w:pPr>
      <w:r>
        <w:rPr>
          <w:rFonts w:ascii="Times New Roman" w:hAnsi="Times New Roman" w:cs="Times New Roman" w:eastAsia="Times New Roman"/>
          <w:b/>
          <w:i/>
          <w:sz w:val="24"/>
        </w:rPr>
        <w:t>AQUISIÇÃO DE UNIFORMES PARA TURMA DE BALLET</w:t>
      </w:r>
    </w:p>
    <w:p>
      <w:pPr>
        <w:jc w:val="both"/>
        <w:pBdr>
          <w:top w:val="" w:sz="6"/>
          <w:left w:val="" w:sz="6"/>
          <w:bottom w:val="" w:sz="6"/>
          <w:right w:val="" w:sz="6"/>
          <w:between w:val="" w:sz="6"/>
        </w:pBdr>
        <w:rPr>
          <w:rFonts w:ascii="Times New Roman" w:hAnsi="Times New Roman" w:cs="Times New Roman" w:eastAsia="Times New Roman"/>
          <w:sz w:val="24"/>
        </w:rPr>
      </w:pPr>
      <w:r>
        <w:rPr>
          <w:rFonts w:ascii="Times New Roman" w:hAnsi="Times New Roman" w:cs="Times New Roman" w:eastAsia="Times New Roman"/>
          <w:sz w:val="24"/>
        </w:rPr>
        <w:t/>
      </w:r>
    </w:p>
    <w:p>
      <w:pPr>
        <w:jc w:val="both"/>
        <w:pBdr>
          <w:top w:val="" w:sz="6"/>
          <w:left w:val="" w:sz="6"/>
          <w:bottom w:val="" w:sz="6"/>
          <w:right w:val="" w:sz="6"/>
          <w:between w:val="" w:sz="6"/>
        </w:pBdr>
        <w:rPr>
          <w:rFonts w:ascii="Times New Roman" w:hAnsi="Times New Roman" w:cs="Times New Roman" w:eastAsia="Times New Roman"/>
          <w:sz w:val="24"/>
        </w:rPr>
      </w:pPr>
      <w:r>
        <w:rPr>
          <w:rFonts w:ascii="Times New Roman" w:hAnsi="Times New Roman" w:cs="Times New Roman" w:eastAsia="Times New Roman"/>
          <w:sz w:val="24"/>
        </w:rPr>
        <w:t xml:space="preserve">4.  </w:t>
      </w:r>
      <w:r>
        <w:rPr>
          <w:rFonts w:ascii="Times New Roman" w:hAnsi="Times New Roman" w:cs="Times New Roman" w:eastAsia="Times New Roman"/>
          <w:sz w:val="24"/>
        </w:rPr>
        <w:tab/>
      </w:r>
      <w:r>
        <w:rPr>
          <w:rFonts w:ascii="Times New Roman" w:hAnsi="Times New Roman" w:cs="Times New Roman" w:eastAsia="Times New Roman"/>
          <w:sz w:val="24"/>
        </w:rPr>
        <w:tab/>
      </w:r>
      <w:r>
        <w:rPr>
          <w:rFonts w:ascii="Times New Roman" w:hAnsi="Times New Roman" w:cs="Times New Roman" w:eastAsia="Times New Roman"/>
          <w:sz w:val="24"/>
        </w:rPr>
        <w:t>A contratação pretendida está compatível com as necessidades da administração.</w:t>
      </w:r>
    </w:p>
    <w:p>
      <w:pPr>
        <w:jc w:val="both"/>
        <w:pBdr>
          <w:top w:val="" w:sz="6"/>
          <w:left w:val="" w:sz="6"/>
          <w:bottom w:val="" w:sz="6"/>
          <w:right w:val="" w:sz="6"/>
          <w:between w:val="" w:sz="6"/>
        </w:pBdr>
        <w:rPr>
          <w:rFonts w:ascii="Times New Roman" w:hAnsi="Times New Roman" w:cs="Times New Roman" w:eastAsia="Times New Roman"/>
          <w:sz w:val="24"/>
        </w:rPr>
      </w:pPr>
      <w:r>
        <w:rPr>
          <w:rFonts w:ascii="Times New Roman" w:hAnsi="Times New Roman" w:cs="Times New Roman" w:eastAsia="Times New Roman"/>
          <w:sz w:val="24"/>
        </w:rPr>
        <w:t/>
      </w:r>
    </w:p>
    <w:p>
      <w:pPr>
        <w:jc w:val="both"/>
        <w:pBdr>
          <w:top w:val="" w:sz="6"/>
          <w:left w:val="" w:sz="6"/>
          <w:bottom w:val="" w:sz="6"/>
          <w:right w:val="" w:sz="6"/>
          <w:between w:val="" w:sz="6"/>
        </w:pBdr>
        <w:rPr>
          <w:rFonts w:ascii="Times New Roman" w:hAnsi="Times New Roman" w:cs="Times New Roman" w:eastAsia="Times New Roman"/>
          <w:sz w:val="24"/>
        </w:rPr>
      </w:pPr>
      <w:r>
        <w:rPr>
          <w:rFonts w:ascii="Times New Roman" w:hAnsi="Times New Roman" w:cs="Times New Roman" w:eastAsia="Times New Roman"/>
          <w:sz w:val="24"/>
        </w:rPr>
        <w:t xml:space="preserve">5. </w:t>
      </w:r>
      <w:r>
        <w:rPr>
          <w:rFonts w:ascii="Times New Roman" w:hAnsi="Times New Roman" w:cs="Times New Roman" w:eastAsia="Times New Roman"/>
          <w:sz w:val="24"/>
        </w:rPr>
        <w:tab/>
      </w:r>
      <w:r>
        <w:rPr>
          <w:rFonts w:ascii="Times New Roman" w:hAnsi="Times New Roman" w:cs="Times New Roman" w:eastAsia="Times New Roman"/>
          <w:sz w:val="24"/>
        </w:rPr>
        <w:tab/>
      </w:r>
      <w:r>
        <w:rPr>
          <w:rFonts w:ascii="Times New Roman" w:hAnsi="Times New Roman" w:cs="Times New Roman" w:eastAsia="Times New Roman"/>
          <w:sz w:val="24"/>
        </w:rPr>
        <w:t>Foram elaborados Estudo Técnico Preliminar e Termo de Referência que atendem aos pressupostos legais ínsitos nos artigos 18, § 1º, e 40, § 1º, ambos da Lei Federal nº 14.133/2021.</w:t>
      </w:r>
    </w:p>
    <w:p>
      <w:pPr>
        <w:jc w:val="both"/>
        <w:pBdr>
          <w:top w:val="" w:sz="6"/>
          <w:left w:val="" w:sz="6"/>
          <w:bottom w:val="" w:sz="6"/>
          <w:right w:val="" w:sz="6"/>
          <w:between w:val="" w:sz="6"/>
        </w:pBdr>
        <w:rPr>
          <w:rFonts w:ascii="Times New Roman" w:hAnsi="Times New Roman" w:cs="Times New Roman" w:eastAsia="Times New Roman"/>
          <w:sz w:val="24"/>
        </w:rPr>
      </w:pPr>
      <w:r>
        <w:rPr>
          <w:rFonts w:ascii="Times New Roman" w:hAnsi="Times New Roman" w:cs="Times New Roman" w:eastAsia="Times New Roman"/>
          <w:sz w:val="24"/>
        </w:rPr>
        <w:t/>
      </w:r>
    </w:p>
    <w:p>
      <w:pPr>
        <w:jc w:val="both"/>
        <w:pBdr>
          <w:top w:val="" w:sz="6"/>
          <w:left w:val="" w:sz="6"/>
          <w:bottom w:val="" w:sz="6"/>
          <w:right w:val="" w:sz="6"/>
          <w:between w:val="" w:sz="6"/>
        </w:pBdr>
        <w:rPr>
          <w:rFonts w:ascii="Times New Roman" w:hAnsi="Times New Roman" w:cs="Times New Roman" w:eastAsia="Times New Roman"/>
          <w:sz w:val="24"/>
        </w:rPr>
      </w:pPr>
      <w:r>
        <w:rPr>
          <w:rFonts w:ascii="Times New Roman" w:hAnsi="Times New Roman" w:cs="Times New Roman" w:eastAsia="Times New Roman"/>
          <w:sz w:val="24"/>
        </w:rPr>
        <w:t xml:space="preserve">6. </w:t>
      </w:r>
      <w:r>
        <w:rPr>
          <w:rFonts w:ascii="Times New Roman" w:hAnsi="Times New Roman" w:cs="Times New Roman" w:eastAsia="Times New Roman"/>
          <w:sz w:val="24"/>
        </w:rPr>
        <w:tab/>
      </w:r>
      <w:r>
        <w:rPr>
          <w:rFonts w:ascii="Times New Roman" w:hAnsi="Times New Roman" w:cs="Times New Roman" w:eastAsia="Times New Roman"/>
          <w:sz w:val="24"/>
        </w:rPr>
        <w:tab/>
      </w:r>
      <w:r>
        <w:rPr>
          <w:rFonts w:ascii="Times New Roman" w:hAnsi="Times New Roman" w:cs="Times New Roman" w:eastAsia="Times New Roman"/>
          <w:sz w:val="24"/>
        </w:rPr>
        <w:t>O valor estimado da contratação é é conforme explicitado abaixo:</w:t>
      </w:r>
    </w:p>
    <w:tbl>
      <w:tblPr>
        <w:tblW w:w="5000" w:type="pct"/>
        <w:tblLayout w:type="fixed"/>
        <w:tblCellMar>
          <w:top w:w="0" w:type="dxa"/>
          <w:left w:w="1" w:type="dxa"/>
          <w:bottom w:w="0" w:type="dxa"/>
          <w:right w:w="1" w:type="dxa"/>
        </w:tblCellMar>
        <w:shd w:val="clear" w:color="auto" w:fill="FFFFFF"/>
      </w:tblPr>
      <w:tblGrid>
        <w:gridCol w:w="633"/>
        <w:gridCol w:w="3978"/>
        <w:gridCol w:w="828"/>
        <w:gridCol w:w="828"/>
        <w:gridCol w:w="843"/>
        <w:gridCol w:w="843"/>
        <w:gridCol w:w="843"/>
      </w:tblGrid>
      <w:tr>
        <w:tc>
          <w:tcPr>
            <w:tcW w:w="660" w:type="dxa"/>
            <w:shd w:val="clear" w:color="auto" w:fill="F0F0F0"/>
          </w:tcPr>
          <w:p>
            <w:pPr>
              <w:pBdr>
                <w:top w:val="" w:sz="6"/>
                <w:left w:val="" w:sz="6"/>
                <w:bottom w:val="" w:sz="6"/>
                <w:right w:val="" w:sz="6"/>
                <w:between w:val="" w:sz="6"/>
              </w:pBdr>
              <w:rPr>
                <w:rFonts w:ascii="Courier New" w:hAnsi="Courier New" w:cs="Courier New" w:eastAsia="Courier New"/>
                <w:sz w:val="12"/>
              </w:rPr>
            </w:pPr>
            <w:r>
              <w:rPr>
                <w:rFonts w:ascii="Courier New" w:hAnsi="Courier New" w:cs="Courier New" w:eastAsia="Courier New"/>
                <w:sz w:val="12"/>
              </w:rPr>
              <w:t>Item</w:t>
            </w:r>
          </w:p>
        </w:tc>
        <w:tc>
          <w:tcPr>
            <w:tcW w:w="4005" w:type="dxa"/>
            <w:shd w:val="clear" w:color="auto" w:fill="F0F0F0"/>
          </w:tcPr>
          <w:p>
            <w:pPr>
              <w:pBdr>
                <w:top w:val="" w:sz="6"/>
                <w:left w:val="" w:sz="6"/>
                <w:bottom w:val="" w:sz="6"/>
                <w:right w:val="" w:sz="6"/>
                <w:between w:val="" w:sz="6"/>
              </w:pBdr>
              <w:rPr>
                <w:rFonts w:ascii="Courier New" w:hAnsi="Courier New" w:cs="Courier New" w:eastAsia="Courier New"/>
                <w:sz w:val="12"/>
              </w:rPr>
            </w:pPr>
            <w:r>
              <w:rPr>
                <w:rFonts w:ascii="Courier New" w:hAnsi="Courier New" w:cs="Courier New" w:eastAsia="Courier New"/>
                <w:sz w:val="12"/>
              </w:rPr>
              <w:t>Descrição do Produto</w:t>
            </w:r>
          </w:p>
        </w:tc>
        <w:tc>
          <w:tcPr>
            <w:tcW w:w="855" w:type="dxa"/>
            <w:shd w:val="clear" w:color="auto" w:fill="F0F0F0"/>
          </w:tcPr>
          <w:p>
            <w:pPr>
              <w:pBdr>
                <w:top w:val="" w:sz="6"/>
                <w:left w:val="" w:sz="6"/>
                <w:bottom w:val="" w:sz="6"/>
                <w:right w:val="" w:sz="6"/>
                <w:between w:val="" w:sz="6"/>
              </w:pBdr>
              <w:rPr>
                <w:rFonts w:ascii="Courier New" w:hAnsi="Courier New" w:cs="Courier New" w:eastAsia="Courier New"/>
                <w:sz w:val="12"/>
              </w:rPr>
            </w:pPr>
            <w:r>
              <w:rPr>
                <w:rFonts w:ascii="Courier New" w:hAnsi="Courier New" w:cs="Courier New" w:eastAsia="Courier New"/>
                <w:sz w:val="12"/>
              </w:rPr>
              <w:t>Qte</w:t>
            </w:r>
          </w:p>
        </w:tc>
        <w:tc>
          <w:tcPr>
            <w:tcW w:w="855" w:type="dxa"/>
            <w:shd w:val="clear" w:color="auto" w:fill="F0F0F0"/>
          </w:tcPr>
          <w:p>
            <w:pPr>
              <w:pBdr>
                <w:top w:val="" w:sz="6"/>
                <w:left w:val="" w:sz="6"/>
                <w:bottom w:val="" w:sz="6"/>
                <w:right w:val="" w:sz="6"/>
                <w:between w:val="" w:sz="6"/>
              </w:pBdr>
              <w:rPr>
                <w:rFonts w:ascii="Courier New" w:hAnsi="Courier New" w:cs="Courier New" w:eastAsia="Courier New"/>
                <w:sz w:val="12"/>
              </w:rPr>
            </w:pPr>
            <w:r>
              <w:rPr>
                <w:rFonts w:ascii="Courier New" w:hAnsi="Courier New" w:cs="Courier New" w:eastAsia="Courier New"/>
                <w:sz w:val="12"/>
              </w:rPr>
              <w:t>Unid.</w:t>
            </w:r>
          </w:p>
        </w:tc>
        <w:tc>
          <w:tcPr>
            <w:tcW w:w="870" w:type="dxa"/>
            <w:shd w:val="clear" w:color="auto" w:fill="F0F0F0"/>
          </w:tcPr>
          <w:p>
            <w:pPr>
              <w:pBdr>
                <w:top w:val="" w:sz="6"/>
                <w:left w:val="" w:sz="6"/>
                <w:bottom w:val="" w:sz="6"/>
                <w:right w:val="" w:sz="6"/>
                <w:between w:val="" w:sz="6"/>
              </w:pBdr>
              <w:rPr>
                <w:rFonts w:ascii="Courier New" w:hAnsi="Courier New" w:cs="Courier New" w:eastAsia="Courier New"/>
                <w:sz w:val="12"/>
              </w:rPr>
            </w:pPr>
            <w:r>
              <w:rPr>
                <w:rFonts w:ascii="Courier New" w:hAnsi="Courier New" w:cs="Courier New" w:eastAsia="Courier New"/>
                <w:sz w:val="12"/>
              </w:rPr>
              <w:t>Marca</w:t>
            </w:r>
          </w:p>
        </w:tc>
        <w:tc>
          <w:tcPr>
            <w:tcW w:w="870" w:type="dxa"/>
            <w:shd w:val="clear" w:color="auto" w:fill="F0F0F0"/>
          </w:tcPr>
          <w:p>
            <w:pPr>
              <w:pBdr>
                <w:top w:val="" w:sz="6"/>
                <w:left w:val="" w:sz="6"/>
                <w:bottom w:val="" w:sz="6"/>
                <w:right w:val="" w:sz="6"/>
                <w:between w:val="" w:sz="6"/>
              </w:pBdr>
              <w:rPr>
                <w:rFonts w:ascii="Courier New" w:hAnsi="Courier New" w:cs="Courier New" w:eastAsia="Courier New"/>
                <w:sz w:val="12"/>
              </w:rPr>
            </w:pPr>
            <w:r>
              <w:rPr>
                <w:rFonts w:ascii="Courier New" w:hAnsi="Courier New" w:cs="Courier New" w:eastAsia="Courier New"/>
                <w:sz w:val="12"/>
              </w:rPr>
              <w:t>Valor Unit.</w:t>
            </w:r>
          </w:p>
        </w:tc>
        <w:tc>
          <w:tcPr>
            <w:tcW w:w="870" w:type="dxa"/>
            <w:shd w:val="clear" w:color="auto" w:fill="F0F0F0"/>
          </w:tcPr>
          <w:p>
            <w:pPr>
              <w:pBdr>
                <w:top w:val="" w:sz="6"/>
                <w:left w:val="" w:sz="6"/>
                <w:bottom w:val="" w:sz="6"/>
                <w:right w:val="" w:sz="6"/>
                <w:between w:val="" w:sz="6"/>
              </w:pBdr>
              <w:rPr>
                <w:rFonts w:ascii="Courier New" w:hAnsi="Courier New" w:cs="Courier New" w:eastAsia="Courier New"/>
                <w:sz w:val="12"/>
              </w:rPr>
            </w:pPr>
            <w:r>
              <w:rPr>
                <w:rFonts w:ascii="Courier New" w:hAnsi="Courier New" w:cs="Courier New" w:eastAsia="Courier New"/>
                <w:sz w:val="12"/>
              </w:rPr>
              <w:t>Valor Total</w:t>
            </w:r>
          </w:p>
        </w:tc>
      </w:tr>
      <w:tr>
        <w:tc>
          <w:tcPr>
            <w:tcW w:w="660" w:type="dxa"/>
            <w:shd w:val="clear" w:color="auto" w:fill="FFFFFF"/>
          </w:tcPr>
          <w:p>
            <w:pPr>
              <w:pBdr>
                <w:top w:val="" w:sz="6"/>
                <w:left w:val="" w:sz="6"/>
                <w:bottom w:val="" w:sz="6"/>
                <w:right w:val="" w:sz="6"/>
                <w:between w:val="" w:sz="6"/>
              </w:pBdr>
              <w:rPr>
                <w:rFonts w:ascii="Courier New" w:hAnsi="Courier New" w:cs="Courier New" w:eastAsia="Courier New"/>
                <w:sz w:val="12"/>
              </w:rPr>
            </w:pPr>
            <w:r>
              <w:rPr>
                <w:rFonts w:ascii="Courier New" w:hAnsi="Courier New" w:cs="Courier New" w:eastAsia="Courier New"/>
                <w:sz w:val="12"/>
              </w:rPr>
              <w:t>1</w:t>
            </w:r>
          </w:p>
        </w:tc>
        <w:tc>
          <w:tcPr>
            <w:tcW w:w="4005" w:type="dxa"/>
            <w:shd w:val="clear" w:color="auto" w:fill="FFFFFF"/>
          </w:tcPr>
          <w:p>
            <w:pPr>
              <w:pBdr>
                <w:top w:val="" w:sz="6"/>
                <w:left w:val="" w:sz="6"/>
                <w:bottom w:val="" w:sz="6"/>
                <w:right w:val="" w:sz="6"/>
                <w:between w:val="" w:sz="6"/>
              </w:pBdr>
              <w:rPr>
                <w:rFonts w:ascii="Courier New" w:hAnsi="Courier New" w:cs="Courier New" w:eastAsia="Courier New"/>
                <w:sz w:val="12"/>
              </w:rPr>
            </w:pPr>
            <w:r>
              <w:rPr>
                <w:rFonts w:ascii="Courier New" w:hAnsi="Courier New" w:cs="Courier New" w:eastAsia="Courier New"/>
                <w:sz w:val="12"/>
              </w:rPr>
              <w:t>COLLANT</w:t>
            </w:r>
          </w:p>
          <w:p>
            <w:pPr>
              <w:pBdr>
                <w:top w:val="" w:sz="6"/>
                <w:left w:val="" w:sz="6"/>
                <w:bottom w:val="" w:sz="6"/>
                <w:right w:val="" w:sz="6"/>
                <w:between w:val="" w:sz="6"/>
              </w:pBdr>
              <w:rPr>
                <w:rFonts w:ascii="Courier New" w:hAnsi="Courier New" w:cs="Courier New" w:eastAsia="Courier New"/>
                <w:sz w:val="12"/>
              </w:rPr>
            </w:pPr>
            <w:r>
              <w:rPr>
                <w:rFonts w:ascii="Courier New" w:hAnsi="Courier New" w:cs="Courier New" w:eastAsia="Courier New"/>
                <w:sz w:val="12"/>
              </w:rPr>
              <w:t>Collant para ballet confeccionado em tecido de microfibra (poliamida com elastano) ou suplex de composição, com alta elasticidade, toque macio, respirabilidade, resistência ao uso contínuo e excelente recuperação elástica, proporcionando conforto e liberdade de movimentos durante aulas, ensaios e apresentações. Acabamento com costuras reforçadas e modelagem.</w:t>
            </w:r>
          </w:p>
        </w:tc>
        <w:tc>
          <w:tcPr>
            <w:tcW w:w="855" w:type="dxa"/>
            <w:shd w:val="clear" w:color="auto" w:fill="FFFFFF"/>
          </w:tcPr>
          <w:p>
            <w:pPr>
              <w:pBdr>
                <w:top w:val="" w:sz="6"/>
                <w:left w:val="" w:sz="6"/>
                <w:bottom w:val="" w:sz="6"/>
                <w:right w:val="" w:sz="6"/>
                <w:between w:val="" w:sz="6"/>
              </w:pBdr>
              <w:rPr>
                <w:rFonts w:ascii="Courier New" w:hAnsi="Courier New" w:cs="Courier New" w:eastAsia="Courier New"/>
                <w:sz w:val="12"/>
              </w:rPr>
            </w:pPr>
            <w:r>
              <w:rPr>
                <w:rFonts w:ascii="Courier New" w:hAnsi="Courier New" w:cs="Courier New" w:eastAsia="Courier New"/>
                <w:sz w:val="12"/>
              </w:rPr>
              <w:t>105</w:t>
            </w:r>
          </w:p>
        </w:tc>
        <w:tc>
          <w:tcPr>
            <w:tcW w:w="855" w:type="dxa"/>
            <w:shd w:val="clear" w:color="auto" w:fill="FFFFFF"/>
          </w:tcPr>
          <w:p>
            <w:pPr>
              <w:pBdr>
                <w:top w:val="" w:sz="6"/>
                <w:left w:val="" w:sz="6"/>
                <w:bottom w:val="" w:sz="6"/>
                <w:right w:val="" w:sz="6"/>
                <w:between w:val="" w:sz="6"/>
              </w:pBdr>
              <w:rPr>
                <w:rFonts w:ascii="Courier New" w:hAnsi="Courier New" w:cs="Courier New" w:eastAsia="Courier New"/>
                <w:sz w:val="12"/>
              </w:rPr>
            </w:pPr>
            <w:r>
              <w:rPr>
                <w:rFonts w:ascii="Courier New" w:hAnsi="Courier New" w:cs="Courier New" w:eastAsia="Courier New"/>
                <w:sz w:val="12"/>
              </w:rPr>
              <w:t>UN</w:t>
            </w:r>
          </w:p>
        </w:tc>
        <w:tc>
          <w:tcPr>
            <w:tcW w:w="870" w:type="dxa"/>
            <w:shd w:val="clear" w:color="auto" w:fill="FFFFFF"/>
          </w:tcPr>
          <w:p>
            <w:pPr>
              <w:pBdr>
                <w:top w:val="" w:sz="6"/>
                <w:left w:val="" w:sz="6"/>
                <w:bottom w:val="" w:sz="6"/>
                <w:right w:val="" w:sz="6"/>
                <w:between w:val="" w:sz="6"/>
              </w:pBdr>
              <w:rPr>
                <w:rFonts w:ascii="Courier New" w:hAnsi="Courier New" w:cs="Courier New" w:eastAsia="Courier New"/>
                <w:sz w:val="12"/>
              </w:rPr>
            </w:pPr>
            <w:r>
              <w:rPr>
                <w:rFonts w:ascii="Courier New" w:hAnsi="Courier New" w:cs="Courier New" w:eastAsia="Courier New"/>
                <w:sz w:val="12"/>
              </w:rPr>
              <w:t/>
            </w:r>
          </w:p>
        </w:tc>
        <w:tc>
          <w:tcPr>
            <w:tcW w:w="870" w:type="dxa"/>
            <w:shd w:val="clear" w:color="auto" w:fill="FFFFFF"/>
          </w:tcPr>
          <w:p>
            <w:pPr>
              <w:jc w:val="right"/>
              <w:pBdr>
                <w:top w:val="" w:sz="6"/>
                <w:left w:val="" w:sz="6"/>
                <w:bottom w:val="" w:sz="6"/>
                <w:right w:val="" w:sz="6"/>
                <w:between w:val="" w:sz="6"/>
              </w:pBdr>
              <w:rPr>
                <w:rFonts w:ascii="Courier New" w:hAnsi="Courier New" w:cs="Courier New" w:eastAsia="Courier New"/>
                <w:sz w:val="12"/>
              </w:rPr>
            </w:pPr>
            <w:r>
              <w:rPr>
                <w:rFonts w:ascii="Courier New" w:hAnsi="Courier New" w:cs="Courier New" w:eastAsia="Courier New"/>
                <w:sz w:val="12"/>
              </w:rPr>
              <w:t>95,00</w:t>
            </w:r>
          </w:p>
        </w:tc>
        <w:tc>
          <w:tcPr>
            <w:tcW w:w="870" w:type="dxa"/>
            <w:shd w:val="clear" w:color="auto" w:fill="FFFFFF"/>
          </w:tcPr>
          <w:p>
            <w:pPr>
              <w:jc w:val="right"/>
              <w:pBdr>
                <w:top w:val="" w:sz="6"/>
                <w:left w:val="" w:sz="6"/>
                <w:bottom w:val="" w:sz="6"/>
                <w:right w:val="" w:sz="6"/>
                <w:between w:val="" w:sz="6"/>
              </w:pBdr>
              <w:rPr>
                <w:rFonts w:ascii="Courier New" w:hAnsi="Courier New" w:cs="Courier New" w:eastAsia="Courier New"/>
                <w:sz w:val="12"/>
              </w:rPr>
            </w:pPr>
            <w:r>
              <w:rPr>
                <w:rFonts w:ascii="Courier New" w:hAnsi="Courier New" w:cs="Courier New" w:eastAsia="Courier New"/>
                <w:sz w:val="12"/>
              </w:rPr>
              <w:t>9.975,00</w:t>
            </w:r>
          </w:p>
        </w:tc>
      </w:tr>
      <w:tr>
        <w:tc>
          <w:tcPr>
            <w:tcW w:w="660" w:type="dxa"/>
            <w:shd w:val="clear" w:color="auto" w:fill="FFFFFF"/>
          </w:tcPr>
          <w:p>
            <w:pPr>
              <w:pBdr>
                <w:top w:val="" w:sz="6"/>
                <w:left w:val="" w:sz="6"/>
                <w:bottom w:val="" w:sz="6"/>
                <w:right w:val="" w:sz="6"/>
                <w:between w:val="" w:sz="6"/>
              </w:pBdr>
              <w:rPr>
                <w:rFonts w:ascii="Courier New" w:hAnsi="Courier New" w:cs="Courier New" w:eastAsia="Courier New"/>
                <w:sz w:val="12"/>
              </w:rPr>
            </w:pPr>
            <w:r>
              <w:rPr>
                <w:rFonts w:ascii="Courier New" w:hAnsi="Courier New" w:cs="Courier New" w:eastAsia="Courier New"/>
                <w:sz w:val="12"/>
              </w:rPr>
              <w:t>2</w:t>
            </w:r>
          </w:p>
        </w:tc>
        <w:tc>
          <w:tcPr>
            <w:tcW w:w="4005" w:type="dxa"/>
            <w:shd w:val="clear" w:color="auto" w:fill="FFFFFF"/>
          </w:tcPr>
          <w:p>
            <w:pPr>
              <w:pBdr>
                <w:top w:val="" w:sz="6"/>
                <w:left w:val="" w:sz="6"/>
                <w:bottom w:val="" w:sz="6"/>
                <w:right w:val="" w:sz="6"/>
                <w:between w:val="" w:sz="6"/>
              </w:pBdr>
              <w:rPr>
                <w:rFonts w:ascii="Courier New" w:hAnsi="Courier New" w:cs="Courier New" w:eastAsia="Courier New"/>
                <w:sz w:val="12"/>
              </w:rPr>
            </w:pPr>
            <w:r>
              <w:rPr>
                <w:rFonts w:ascii="Courier New" w:hAnsi="Courier New" w:cs="Courier New" w:eastAsia="Courier New"/>
                <w:sz w:val="12"/>
              </w:rPr>
              <w:t>SAIA DE TECIDO OXFORDINE</w:t>
            </w:r>
          </w:p>
          <w:p>
            <w:pPr>
              <w:pBdr>
                <w:top w:val="" w:sz="6"/>
                <w:left w:val="" w:sz="6"/>
                <w:bottom w:val="" w:sz="6"/>
                <w:right w:val="" w:sz="6"/>
                <w:between w:val="" w:sz="6"/>
              </w:pBdr>
              <w:rPr>
                <w:rFonts w:ascii="Courier New" w:hAnsi="Courier New" w:cs="Courier New" w:eastAsia="Courier New"/>
                <w:sz w:val="12"/>
              </w:rPr>
            </w:pPr>
            <w:r>
              <w:rPr>
                <w:rFonts w:ascii="Courier New" w:hAnsi="Courier New" w:cs="Courier New" w:eastAsia="Courier New"/>
                <w:sz w:val="12"/>
              </w:rPr>
              <w:t>tecido oxfordine 100% poliêster, gramatura 130gra</w:t>
            </w:r>
          </w:p>
        </w:tc>
        <w:tc>
          <w:tcPr>
            <w:tcW w:w="855" w:type="dxa"/>
            <w:shd w:val="clear" w:color="auto" w:fill="FFFFFF"/>
          </w:tcPr>
          <w:p>
            <w:pPr>
              <w:pBdr>
                <w:top w:val="" w:sz="6"/>
                <w:left w:val="" w:sz="6"/>
                <w:bottom w:val="" w:sz="6"/>
                <w:right w:val="" w:sz="6"/>
                <w:between w:val="" w:sz="6"/>
              </w:pBdr>
              <w:rPr>
                <w:rFonts w:ascii="Courier New" w:hAnsi="Courier New" w:cs="Courier New" w:eastAsia="Courier New"/>
                <w:sz w:val="12"/>
              </w:rPr>
            </w:pPr>
            <w:r>
              <w:rPr>
                <w:rFonts w:ascii="Courier New" w:hAnsi="Courier New" w:cs="Courier New" w:eastAsia="Courier New"/>
                <w:sz w:val="12"/>
              </w:rPr>
              <w:t>75</w:t>
            </w:r>
          </w:p>
        </w:tc>
        <w:tc>
          <w:tcPr>
            <w:tcW w:w="855" w:type="dxa"/>
            <w:shd w:val="clear" w:color="auto" w:fill="FFFFFF"/>
          </w:tcPr>
          <w:p>
            <w:pPr>
              <w:pBdr>
                <w:top w:val="" w:sz="6"/>
                <w:left w:val="" w:sz="6"/>
                <w:bottom w:val="" w:sz="6"/>
                <w:right w:val="" w:sz="6"/>
                <w:between w:val="" w:sz="6"/>
              </w:pBdr>
              <w:rPr>
                <w:rFonts w:ascii="Courier New" w:hAnsi="Courier New" w:cs="Courier New" w:eastAsia="Courier New"/>
                <w:sz w:val="12"/>
              </w:rPr>
            </w:pPr>
            <w:r>
              <w:rPr>
                <w:rFonts w:ascii="Courier New" w:hAnsi="Courier New" w:cs="Courier New" w:eastAsia="Courier New"/>
                <w:sz w:val="12"/>
              </w:rPr>
              <w:t>UN</w:t>
            </w:r>
          </w:p>
        </w:tc>
        <w:tc>
          <w:tcPr>
            <w:tcW w:w="870" w:type="dxa"/>
            <w:shd w:val="clear" w:color="auto" w:fill="FFFFFF"/>
          </w:tcPr>
          <w:p>
            <w:pPr>
              <w:pBdr>
                <w:top w:val="" w:sz="6"/>
                <w:left w:val="" w:sz="6"/>
                <w:bottom w:val="" w:sz="6"/>
                <w:right w:val="" w:sz="6"/>
                <w:between w:val="" w:sz="6"/>
              </w:pBdr>
              <w:rPr>
                <w:rFonts w:ascii="Courier New" w:hAnsi="Courier New" w:cs="Courier New" w:eastAsia="Courier New"/>
                <w:sz w:val="12"/>
              </w:rPr>
            </w:pPr>
            <w:r>
              <w:rPr>
                <w:rFonts w:ascii="Courier New" w:hAnsi="Courier New" w:cs="Courier New" w:eastAsia="Courier New"/>
                <w:sz w:val="12"/>
              </w:rPr>
              <w:t/>
            </w:r>
          </w:p>
        </w:tc>
        <w:tc>
          <w:tcPr>
            <w:tcW w:w="870" w:type="dxa"/>
            <w:shd w:val="clear" w:color="auto" w:fill="FFFFFF"/>
          </w:tcPr>
          <w:p>
            <w:pPr>
              <w:jc w:val="right"/>
              <w:pBdr>
                <w:top w:val="" w:sz="6"/>
                <w:left w:val="" w:sz="6"/>
                <w:bottom w:val="" w:sz="6"/>
                <w:right w:val="" w:sz="6"/>
                <w:between w:val="" w:sz="6"/>
              </w:pBdr>
              <w:rPr>
                <w:rFonts w:ascii="Courier New" w:hAnsi="Courier New" w:cs="Courier New" w:eastAsia="Courier New"/>
                <w:sz w:val="12"/>
              </w:rPr>
            </w:pPr>
            <w:r>
              <w:rPr>
                <w:rFonts w:ascii="Courier New" w:hAnsi="Courier New" w:cs="Courier New" w:eastAsia="Courier New"/>
                <w:sz w:val="12"/>
              </w:rPr>
              <w:t>78,00</w:t>
            </w:r>
          </w:p>
        </w:tc>
        <w:tc>
          <w:tcPr>
            <w:tcW w:w="870" w:type="dxa"/>
            <w:shd w:val="clear" w:color="auto" w:fill="FFFFFF"/>
          </w:tcPr>
          <w:p>
            <w:pPr>
              <w:jc w:val="right"/>
              <w:pBdr>
                <w:top w:val="" w:sz="6"/>
                <w:left w:val="" w:sz="6"/>
                <w:bottom w:val="" w:sz="6"/>
                <w:right w:val="" w:sz="6"/>
                <w:between w:val="" w:sz="6"/>
              </w:pBdr>
              <w:rPr>
                <w:rFonts w:ascii="Courier New" w:hAnsi="Courier New" w:cs="Courier New" w:eastAsia="Courier New"/>
                <w:sz w:val="12"/>
              </w:rPr>
            </w:pPr>
            <w:r>
              <w:rPr>
                <w:rFonts w:ascii="Courier New" w:hAnsi="Courier New" w:cs="Courier New" w:eastAsia="Courier New"/>
                <w:sz w:val="12"/>
              </w:rPr>
              <w:t>5.850,00</w:t>
            </w:r>
          </w:p>
        </w:tc>
      </w:tr>
      <w:tr>
        <w:tc>
          <w:tcPr>
            <w:tcW w:w="660" w:type="dxa"/>
            <w:shd w:val="clear" w:color="auto" w:fill="FFFFFF"/>
          </w:tcPr>
          <w:p>
            <w:pPr>
              <w:pBdr>
                <w:top w:val="" w:sz="6"/>
                <w:left w:val="" w:sz="6"/>
                <w:bottom w:val="" w:sz="6"/>
                <w:right w:val="" w:sz="6"/>
                <w:between w:val="" w:sz="6"/>
              </w:pBdr>
              <w:rPr>
                <w:rFonts w:ascii="Courier New" w:hAnsi="Courier New" w:cs="Courier New" w:eastAsia="Courier New"/>
                <w:sz w:val="12"/>
              </w:rPr>
            </w:pPr>
            <w:r>
              <w:rPr>
                <w:rFonts w:ascii="Courier New" w:hAnsi="Courier New" w:cs="Courier New" w:eastAsia="Courier New"/>
                <w:sz w:val="12"/>
              </w:rPr>
              <w:t>3</w:t>
            </w:r>
          </w:p>
        </w:tc>
        <w:tc>
          <w:tcPr>
            <w:tcW w:w="4005" w:type="dxa"/>
            <w:shd w:val="clear" w:color="auto" w:fill="FFFFFF"/>
          </w:tcPr>
          <w:p>
            <w:pPr>
              <w:pBdr>
                <w:top w:val="" w:sz="6"/>
                <w:left w:val="" w:sz="6"/>
                <w:bottom w:val="" w:sz="6"/>
                <w:right w:val="" w:sz="6"/>
                <w:between w:val="" w:sz="6"/>
              </w:pBdr>
              <w:rPr>
                <w:rFonts w:ascii="Courier New" w:hAnsi="Courier New" w:cs="Courier New" w:eastAsia="Courier New"/>
                <w:sz w:val="12"/>
              </w:rPr>
            </w:pPr>
            <w:r>
              <w:rPr>
                <w:rFonts w:ascii="Courier New" w:hAnsi="Courier New" w:cs="Courier New" w:eastAsia="Courier New"/>
                <w:sz w:val="12"/>
              </w:rPr>
              <w:t>SAIA DE TULE</w:t>
            </w:r>
          </w:p>
          <w:p>
            <w:pPr>
              <w:pBdr>
                <w:top w:val="" w:sz="6"/>
                <w:left w:val="" w:sz="6"/>
                <w:bottom w:val="" w:sz="6"/>
                <w:right w:val="" w:sz="6"/>
                <w:between w:val="" w:sz="6"/>
              </w:pBdr>
              <w:rPr>
                <w:rFonts w:ascii="Courier New" w:hAnsi="Courier New" w:cs="Courier New" w:eastAsia="Courier New"/>
                <w:sz w:val="12"/>
              </w:rPr>
            </w:pPr>
            <w:r>
              <w:rPr>
                <w:rFonts w:ascii="Courier New" w:hAnsi="Courier New" w:cs="Courier New" w:eastAsia="Courier New"/>
                <w:sz w:val="12"/>
              </w:rPr>
              <w:t>Saia para ballet confeccionada em tecido de tule,resistentes e com excelente caimento, proporcionando fluidez aos movimentos durante aulas, ensaios e apresentações. O tule deverá apresentar transparência uniforme e boa resistência, deverá possuir toque macio, leveza e caimento delicado. Modelo com cós em elástico ou tecido de composição equivalente, garantindo conforto, ajuste adequado ao corpo e liberdade de movimentos. Acabamento com costuras reforçadas e barras devidamente finalizadas.</w:t>
            </w:r>
          </w:p>
          <w:p>
            <w:pPr>
              <w:pBdr>
                <w:top w:val="" w:sz="6"/>
                <w:left w:val="" w:sz="6"/>
                <w:bottom w:val="" w:sz="6"/>
                <w:right w:val="" w:sz="6"/>
                <w:between w:val="" w:sz="6"/>
              </w:pBdr>
              <w:rPr>
                <w:rFonts w:ascii="Courier New" w:hAnsi="Courier New" w:cs="Courier New" w:eastAsia="Courier New"/>
                <w:sz w:val="12"/>
              </w:rPr>
            </w:pPr>
            <w:r>
              <w:rPr>
                <w:rFonts w:ascii="Courier New" w:hAnsi="Courier New" w:cs="Courier New" w:eastAsia="Courier New"/>
                <w:sz w:val="12"/>
              </w:rPr>
              <w:t/>
            </w:r>
          </w:p>
          <w:p>
            <w:pPr>
              <w:pBdr>
                <w:top w:val="" w:sz="6"/>
                <w:left w:val="" w:sz="6"/>
                <w:bottom w:val="" w:sz="6"/>
                <w:right w:val="" w:sz="6"/>
                <w:between w:val="" w:sz="6"/>
              </w:pBdr>
              <w:rPr>
                <w:rFonts w:ascii="Courier New" w:hAnsi="Courier New" w:cs="Courier New" w:eastAsia="Courier New"/>
                <w:sz w:val="12"/>
              </w:rPr>
            </w:pPr>
            <w:r>
              <w:rPr>
                <w:rFonts w:ascii="Courier New" w:hAnsi="Courier New" w:cs="Courier New" w:eastAsia="Courier New"/>
                <w:sz w:val="12"/>
              </w:rPr>
              <w:t>Os itens deverão ser fornecidos conforme os tamanhos, modelos, cores e quantidades definidos pela contratante.</w:t>
            </w:r>
          </w:p>
          <w:p>
            <w:pPr>
              <w:pBdr>
                <w:top w:val="" w:sz="6"/>
                <w:left w:val="" w:sz="6"/>
                <w:bottom w:val="" w:sz="6"/>
                <w:right w:val="" w:sz="6"/>
                <w:between w:val="" w:sz="6"/>
              </w:pBdr>
              <w:rPr>
                <w:rFonts w:ascii="Courier New" w:hAnsi="Courier New" w:cs="Courier New" w:eastAsia="Courier New"/>
                <w:sz w:val="12"/>
              </w:rPr>
            </w:pPr>
            <w:r>
              <w:rPr>
                <w:rFonts w:ascii="Courier New" w:hAnsi="Courier New" w:cs="Courier New" w:eastAsia="Courier New"/>
                <w:sz w:val="12"/>
              </w:rPr>
              <w:t/>
            </w:r>
          </w:p>
          <w:p>
            <w:pPr>
              <w:pBdr>
                <w:top w:val="" w:sz="6"/>
                <w:left w:val="" w:sz="6"/>
                <w:bottom w:val="" w:sz="6"/>
                <w:right w:val="" w:sz="6"/>
                <w:between w:val="" w:sz="6"/>
              </w:pBdr>
              <w:rPr>
                <w:rFonts w:ascii="Courier New" w:hAnsi="Courier New" w:cs="Courier New" w:eastAsia="Courier New"/>
                <w:sz w:val="12"/>
              </w:rPr>
            </w:pPr>
            <w:r>
              <w:rPr>
                <w:rFonts w:ascii="Courier New" w:hAnsi="Courier New" w:cs="Courier New" w:eastAsia="Courier New"/>
                <w:sz w:val="12"/>
              </w:rPr>
              <w:t/>
            </w:r>
          </w:p>
        </w:tc>
        <w:tc>
          <w:tcPr>
            <w:tcW w:w="855" w:type="dxa"/>
            <w:shd w:val="clear" w:color="auto" w:fill="FFFFFF"/>
          </w:tcPr>
          <w:p>
            <w:pPr>
              <w:pBdr>
                <w:top w:val="" w:sz="6"/>
                <w:left w:val="" w:sz="6"/>
                <w:bottom w:val="" w:sz="6"/>
                <w:right w:val="" w:sz="6"/>
                <w:between w:val="" w:sz="6"/>
              </w:pBdr>
              <w:rPr>
                <w:rFonts w:ascii="Courier New" w:hAnsi="Courier New" w:cs="Courier New" w:eastAsia="Courier New"/>
                <w:sz w:val="12"/>
              </w:rPr>
            </w:pPr>
            <w:r>
              <w:rPr>
                <w:rFonts w:ascii="Courier New" w:hAnsi="Courier New" w:cs="Courier New" w:eastAsia="Courier New"/>
                <w:sz w:val="12"/>
              </w:rPr>
              <w:t>30</w:t>
            </w:r>
          </w:p>
        </w:tc>
        <w:tc>
          <w:tcPr>
            <w:tcW w:w="855" w:type="dxa"/>
            <w:shd w:val="clear" w:color="auto" w:fill="FFFFFF"/>
          </w:tcPr>
          <w:p>
            <w:pPr>
              <w:pBdr>
                <w:top w:val="" w:sz="6"/>
                <w:left w:val="" w:sz="6"/>
                <w:bottom w:val="" w:sz="6"/>
                <w:right w:val="" w:sz="6"/>
                <w:between w:val="" w:sz="6"/>
              </w:pBdr>
              <w:rPr>
                <w:rFonts w:ascii="Courier New" w:hAnsi="Courier New" w:cs="Courier New" w:eastAsia="Courier New"/>
                <w:sz w:val="12"/>
              </w:rPr>
            </w:pPr>
            <w:r>
              <w:rPr>
                <w:rFonts w:ascii="Courier New" w:hAnsi="Courier New" w:cs="Courier New" w:eastAsia="Courier New"/>
                <w:sz w:val="12"/>
              </w:rPr>
              <w:t>UN</w:t>
            </w:r>
          </w:p>
        </w:tc>
        <w:tc>
          <w:tcPr>
            <w:tcW w:w="870" w:type="dxa"/>
            <w:shd w:val="clear" w:color="auto" w:fill="FFFFFF"/>
          </w:tcPr>
          <w:p>
            <w:pPr>
              <w:pBdr>
                <w:top w:val="" w:sz="6"/>
                <w:left w:val="" w:sz="6"/>
                <w:bottom w:val="" w:sz="6"/>
                <w:right w:val="" w:sz="6"/>
                <w:between w:val="" w:sz="6"/>
              </w:pBdr>
              <w:rPr>
                <w:rFonts w:ascii="Courier New" w:hAnsi="Courier New" w:cs="Courier New" w:eastAsia="Courier New"/>
                <w:sz w:val="12"/>
              </w:rPr>
            </w:pPr>
            <w:r>
              <w:rPr>
                <w:rFonts w:ascii="Courier New" w:hAnsi="Courier New" w:cs="Courier New" w:eastAsia="Courier New"/>
                <w:sz w:val="12"/>
              </w:rPr>
              <w:t/>
            </w:r>
          </w:p>
        </w:tc>
        <w:tc>
          <w:tcPr>
            <w:tcW w:w="870" w:type="dxa"/>
            <w:shd w:val="clear" w:color="auto" w:fill="FFFFFF"/>
          </w:tcPr>
          <w:p>
            <w:pPr>
              <w:jc w:val="right"/>
              <w:pBdr>
                <w:top w:val="" w:sz="6"/>
                <w:left w:val="" w:sz="6"/>
                <w:bottom w:val="" w:sz="6"/>
                <w:right w:val="" w:sz="6"/>
                <w:between w:val="" w:sz="6"/>
              </w:pBdr>
              <w:rPr>
                <w:rFonts w:ascii="Courier New" w:hAnsi="Courier New" w:cs="Courier New" w:eastAsia="Courier New"/>
                <w:sz w:val="12"/>
              </w:rPr>
            </w:pPr>
            <w:r>
              <w:rPr>
                <w:rFonts w:ascii="Courier New" w:hAnsi="Courier New" w:cs="Courier New" w:eastAsia="Courier New"/>
                <w:sz w:val="12"/>
              </w:rPr>
              <w:t>75,00</w:t>
            </w:r>
          </w:p>
        </w:tc>
        <w:tc>
          <w:tcPr>
            <w:tcW w:w="870" w:type="dxa"/>
            <w:shd w:val="clear" w:color="auto" w:fill="FFFFFF"/>
          </w:tcPr>
          <w:p>
            <w:pPr>
              <w:jc w:val="right"/>
              <w:pBdr>
                <w:top w:val="" w:sz="6"/>
                <w:left w:val="" w:sz="6"/>
                <w:bottom w:val="" w:sz="6"/>
                <w:right w:val="" w:sz="6"/>
                <w:between w:val="" w:sz="6"/>
              </w:pBdr>
              <w:rPr>
                <w:rFonts w:ascii="Courier New" w:hAnsi="Courier New" w:cs="Courier New" w:eastAsia="Courier New"/>
                <w:sz w:val="12"/>
              </w:rPr>
            </w:pPr>
            <w:r>
              <w:rPr>
                <w:rFonts w:ascii="Courier New" w:hAnsi="Courier New" w:cs="Courier New" w:eastAsia="Courier New"/>
                <w:sz w:val="12"/>
              </w:rPr>
              <w:t>2.250,00</w:t>
            </w:r>
          </w:p>
        </w:tc>
      </w:tr>
      <w:tr>
        <w:tc>
          <w:tcPr>
            <w:tcW w:w="660" w:type="dxa"/>
            <w:shd w:val="clear" w:color="auto" w:fill="FFFFFF"/>
          </w:tcPr>
          <w:p>
            <w:pPr>
              <w:pBdr>
                <w:top w:val="" w:sz="6"/>
                <w:left w:val="" w:sz="6"/>
                <w:bottom w:val="" w:sz="6"/>
                <w:right w:val="" w:sz="6"/>
                <w:between w:val="" w:sz="6"/>
              </w:pBdr>
              <w:rPr>
                <w:rFonts w:ascii="Courier New" w:hAnsi="Courier New" w:cs="Courier New" w:eastAsia="Courier New"/>
                <w:sz w:val="12"/>
              </w:rPr>
            </w:pPr>
            <w:r>
              <w:rPr>
                <w:rFonts w:ascii="Courier New" w:hAnsi="Courier New" w:cs="Courier New" w:eastAsia="Courier New"/>
                <w:sz w:val="12"/>
              </w:rPr>
              <w:t>4</w:t>
            </w:r>
          </w:p>
        </w:tc>
        <w:tc>
          <w:tcPr>
            <w:tcW w:w="4005" w:type="dxa"/>
            <w:shd w:val="clear" w:color="auto" w:fill="FFFFFF"/>
          </w:tcPr>
          <w:p>
            <w:pPr>
              <w:pBdr>
                <w:top w:val="" w:sz="6"/>
                <w:left w:val="" w:sz="6"/>
                <w:bottom w:val="" w:sz="6"/>
                <w:right w:val="" w:sz="6"/>
                <w:between w:val="" w:sz="6"/>
              </w:pBdr>
              <w:rPr>
                <w:rFonts w:ascii="Courier New" w:hAnsi="Courier New" w:cs="Courier New" w:eastAsia="Courier New"/>
                <w:sz w:val="12"/>
              </w:rPr>
            </w:pPr>
            <w:r>
              <w:rPr>
                <w:rFonts w:ascii="Courier New" w:hAnsi="Courier New" w:cs="Courier New" w:eastAsia="Courier New"/>
                <w:sz w:val="12"/>
              </w:rPr>
              <w:t>SAPATILHA</w:t>
            </w:r>
          </w:p>
          <w:p>
            <w:pPr>
              <w:pBdr>
                <w:top w:val="" w:sz="6"/>
                <w:left w:val="" w:sz="6"/>
                <w:bottom w:val="" w:sz="6"/>
                <w:right w:val="" w:sz="6"/>
                <w:between w:val="" w:sz="6"/>
              </w:pBdr>
              <w:rPr>
                <w:rFonts w:ascii="Courier New" w:hAnsi="Courier New" w:cs="Courier New" w:eastAsia="Courier New"/>
                <w:sz w:val="12"/>
              </w:rPr>
            </w:pPr>
            <w:r>
              <w:rPr>
                <w:rFonts w:ascii="Courier New" w:hAnsi="Courier New" w:cs="Courier New" w:eastAsia="Courier New"/>
                <w:sz w:val="12"/>
              </w:rPr>
              <w:t>Sapatilha de ballet confeccionada em lona/tecido algodão ou couro sintético de alta resistência, com solado em camurça natural ou material sintético equivalente, elástico para melhor ajuste aos pés e acabamento reforçado, proporcionando conforto, flexibilidade, aderência e segurança durante a prática da dança.</w:t>
            </w:r>
          </w:p>
          <w:p>
            <w:pPr>
              <w:pBdr>
                <w:top w:val="" w:sz="6"/>
                <w:left w:val="" w:sz="6"/>
                <w:bottom w:val="" w:sz="6"/>
                <w:right w:val="" w:sz="6"/>
                <w:between w:val="" w:sz="6"/>
              </w:pBdr>
              <w:rPr>
                <w:rFonts w:ascii="Courier New" w:hAnsi="Courier New" w:cs="Courier New" w:eastAsia="Courier New"/>
                <w:sz w:val="12"/>
              </w:rPr>
            </w:pPr>
            <w:r>
              <w:rPr>
                <w:rFonts w:ascii="Courier New" w:hAnsi="Courier New" w:cs="Courier New" w:eastAsia="Courier New"/>
                <w:sz w:val="12"/>
              </w:rPr>
              <w:t>Os itens deverão ser fornecidos conforme os tamanhos, modelos, cores e quantidades definidos pela contratante.</w:t>
            </w:r>
          </w:p>
        </w:tc>
        <w:tc>
          <w:tcPr>
            <w:tcW w:w="855" w:type="dxa"/>
            <w:shd w:val="clear" w:color="auto" w:fill="FFFFFF"/>
          </w:tcPr>
          <w:p>
            <w:pPr>
              <w:pBdr>
                <w:top w:val="" w:sz="6"/>
                <w:left w:val="" w:sz="6"/>
                <w:bottom w:val="" w:sz="6"/>
                <w:right w:val="" w:sz="6"/>
                <w:between w:val="" w:sz="6"/>
              </w:pBdr>
              <w:rPr>
                <w:rFonts w:ascii="Courier New" w:hAnsi="Courier New" w:cs="Courier New" w:eastAsia="Courier New"/>
                <w:sz w:val="12"/>
              </w:rPr>
            </w:pPr>
            <w:r>
              <w:rPr>
                <w:rFonts w:ascii="Courier New" w:hAnsi="Courier New" w:cs="Courier New" w:eastAsia="Courier New"/>
                <w:sz w:val="12"/>
              </w:rPr>
              <w:t>105</w:t>
            </w:r>
          </w:p>
        </w:tc>
        <w:tc>
          <w:tcPr>
            <w:tcW w:w="855" w:type="dxa"/>
            <w:shd w:val="clear" w:color="auto" w:fill="FFFFFF"/>
          </w:tcPr>
          <w:p>
            <w:pPr>
              <w:pBdr>
                <w:top w:val="" w:sz="6"/>
                <w:left w:val="" w:sz="6"/>
                <w:bottom w:val="" w:sz="6"/>
                <w:right w:val="" w:sz="6"/>
                <w:between w:val="" w:sz="6"/>
              </w:pBdr>
              <w:rPr>
                <w:rFonts w:ascii="Courier New" w:hAnsi="Courier New" w:cs="Courier New" w:eastAsia="Courier New"/>
                <w:sz w:val="12"/>
              </w:rPr>
            </w:pPr>
            <w:r>
              <w:rPr>
                <w:rFonts w:ascii="Courier New" w:hAnsi="Courier New" w:cs="Courier New" w:eastAsia="Courier New"/>
                <w:sz w:val="12"/>
              </w:rPr>
              <w:t>PA</w:t>
            </w:r>
          </w:p>
        </w:tc>
        <w:tc>
          <w:tcPr>
            <w:tcW w:w="870" w:type="dxa"/>
            <w:shd w:val="clear" w:color="auto" w:fill="FFFFFF"/>
          </w:tcPr>
          <w:p>
            <w:pPr>
              <w:pBdr>
                <w:top w:val="" w:sz="6"/>
                <w:left w:val="" w:sz="6"/>
                <w:bottom w:val="" w:sz="6"/>
                <w:right w:val="" w:sz="6"/>
                <w:between w:val="" w:sz="6"/>
              </w:pBdr>
              <w:rPr>
                <w:rFonts w:ascii="Courier New" w:hAnsi="Courier New" w:cs="Courier New" w:eastAsia="Courier New"/>
                <w:sz w:val="12"/>
              </w:rPr>
            </w:pPr>
            <w:r>
              <w:rPr>
                <w:rFonts w:ascii="Courier New" w:hAnsi="Courier New" w:cs="Courier New" w:eastAsia="Courier New"/>
                <w:sz w:val="12"/>
              </w:rPr>
              <w:t/>
            </w:r>
          </w:p>
        </w:tc>
        <w:tc>
          <w:tcPr>
            <w:tcW w:w="870" w:type="dxa"/>
            <w:shd w:val="clear" w:color="auto" w:fill="FFFFFF"/>
          </w:tcPr>
          <w:p>
            <w:pPr>
              <w:jc w:val="right"/>
              <w:pBdr>
                <w:top w:val="" w:sz="6"/>
                <w:left w:val="" w:sz="6"/>
                <w:bottom w:val="" w:sz="6"/>
                <w:right w:val="" w:sz="6"/>
                <w:between w:val="" w:sz="6"/>
              </w:pBdr>
              <w:rPr>
                <w:rFonts w:ascii="Courier New" w:hAnsi="Courier New" w:cs="Courier New" w:eastAsia="Courier New"/>
                <w:sz w:val="12"/>
              </w:rPr>
            </w:pPr>
            <w:r>
              <w:rPr>
                <w:rFonts w:ascii="Courier New" w:hAnsi="Courier New" w:cs="Courier New" w:eastAsia="Courier New"/>
                <w:sz w:val="12"/>
              </w:rPr>
              <w:t>57,00</w:t>
            </w:r>
          </w:p>
        </w:tc>
        <w:tc>
          <w:tcPr>
            <w:tcW w:w="870" w:type="dxa"/>
            <w:shd w:val="clear" w:color="auto" w:fill="FFFFFF"/>
          </w:tcPr>
          <w:p>
            <w:pPr>
              <w:jc w:val="right"/>
              <w:pBdr>
                <w:top w:val="" w:sz="6"/>
                <w:left w:val="" w:sz="6"/>
                <w:bottom w:val="" w:sz="6"/>
                <w:right w:val="" w:sz="6"/>
                <w:between w:val="" w:sz="6"/>
              </w:pBdr>
              <w:rPr>
                <w:rFonts w:ascii="Courier New" w:hAnsi="Courier New" w:cs="Courier New" w:eastAsia="Courier New"/>
                <w:sz w:val="12"/>
              </w:rPr>
            </w:pPr>
            <w:r>
              <w:rPr>
                <w:rFonts w:ascii="Courier New" w:hAnsi="Courier New" w:cs="Courier New" w:eastAsia="Courier New"/>
                <w:sz w:val="12"/>
              </w:rPr>
              <w:t>5.985,00</w:t>
            </w:r>
          </w:p>
        </w:tc>
      </w:tr>
    </w:tbl>
    <w:p>
      <w:pPr>
        <w:pBdr>
          <w:top w:val="" w:sz="6"/>
          <w:left w:val="" w:sz="6"/>
          <w:bottom w:val="" w:sz="6"/>
          <w:right w:val="" w:sz="6"/>
          <w:between w:val="" w:sz="6"/>
        </w:pBdr>
        <w:rPr>
          <w:rFonts w:ascii="Courier New" w:hAnsi="Courier New" w:cs="Courier New" w:eastAsia="Courier New"/>
          <w:sz w:val="12"/>
        </w:rPr>
      </w:pPr>
      <w:r>
        <w:rPr>
          <w:rFonts w:ascii="Courier New" w:hAnsi="Courier New" w:cs="Courier New" w:eastAsia="Courier New"/>
          <w:sz w:val="12"/>
        </w:rPr>
        <w:t>.</w:t>
      </w:r>
    </w:p>
    <w:p>
      <w:pPr>
        <w:jc w:val="both"/>
        <w:pBdr>
          <w:top w:val="" w:sz="6"/>
          <w:left w:val="" w:sz="6"/>
          <w:bottom w:val="" w:sz="6"/>
          <w:right w:val="" w:sz="6"/>
          <w:between w:val="" w:sz="6"/>
        </w:pBdr>
        <w:rPr>
          <w:rFonts w:ascii="Times New Roman" w:hAnsi="Times New Roman" w:cs="Times New Roman" w:eastAsia="Times New Roman"/>
          <w:sz w:val="24"/>
        </w:rPr>
      </w:pPr>
      <w:r>
        <w:rPr>
          <w:rFonts w:ascii="Times New Roman" w:hAnsi="Times New Roman" w:cs="Times New Roman" w:eastAsia="Times New Roman"/>
          <w:sz w:val="24"/>
        </w:rPr>
        <w:t xml:space="preserve"> </w:t>
      </w:r>
      <w:r>
        <w:rPr>
          <w:rFonts w:ascii="Times New Roman" w:hAnsi="Times New Roman" w:cs="Times New Roman" w:eastAsia="Times New Roman"/>
          <w:sz w:val="24"/>
        </w:rPr>
        <w:tab/>
      </w:r>
      <w:r>
        <w:rPr>
          <w:rFonts w:ascii="Times New Roman" w:hAnsi="Times New Roman" w:cs="Times New Roman" w:eastAsia="Times New Roman"/>
          <w:sz w:val="24"/>
        </w:rPr>
        <w:tab/>
      </w:r>
    </w:p>
    <w:p>
      <w:pPr>
        <w:jc w:val="both"/>
        <w:pBdr>
          <w:top w:val="" w:sz="6"/>
          <w:left w:val="" w:sz="6"/>
          <w:bottom w:val="" w:sz="6"/>
          <w:right w:val="" w:sz="6"/>
          <w:between w:val="" w:sz="6"/>
        </w:pBdr>
        <w:rPr>
          <w:rFonts w:ascii="Times New Roman" w:hAnsi="Times New Roman" w:cs="Times New Roman" w:eastAsia="Times New Roman"/>
          <w:sz w:val="24"/>
        </w:rPr>
      </w:pPr>
      <w:r>
        <w:rPr>
          <w:rFonts w:ascii="Times New Roman" w:hAnsi="Times New Roman" w:cs="Times New Roman" w:eastAsia="Times New Roman"/>
          <w:sz w:val="24"/>
        </w:rPr>
        <w:tab/>
      </w:r>
      <w:r>
        <w:rPr>
          <w:rFonts w:ascii="Times New Roman" w:hAnsi="Times New Roman" w:cs="Times New Roman" w:eastAsia="Times New Roman"/>
          <w:sz w:val="24"/>
        </w:rPr>
        <w:tab/>
      </w:r>
      <w:r>
        <w:rPr>
          <w:rFonts w:ascii="Times New Roman" w:hAnsi="Times New Roman" w:cs="Times New Roman" w:eastAsia="Times New Roman"/>
          <w:sz w:val="24"/>
        </w:rPr>
        <w:t>A propósito, foi indicada a respectiva dotação orçamentária:</w:t>
      </w:r>
    </w:p>
    <w:tbl>
      <w:tblPr>
        <w:tblW w:w="5000" w:type="pct"/>
        <w:tblLayout w:type="fixed"/>
        <w:tblCellMar>
          <w:top w:w="0" w:type="dxa"/>
          <w:left w:w="1" w:type="dxa"/>
          <w:bottom w:w="0" w:type="dxa"/>
          <w:right w:w="1" w:type="dxa"/>
        </w:tblCellMar>
        <w:shd w:val="clear" w:color="auto" w:fill="FFFFFF"/>
      </w:tblPr>
      <w:tblGrid>
        <w:gridCol w:w="498"/>
        <w:gridCol w:w="498"/>
        <w:gridCol w:w="723"/>
        <w:gridCol w:w="2043"/>
        <w:gridCol w:w="1263"/>
        <w:gridCol w:w="828"/>
        <w:gridCol w:w="948"/>
        <w:gridCol w:w="948"/>
        <w:gridCol w:w="963"/>
      </w:tblGrid>
      <w:tr>
        <w:tc>
          <w:tcPr>
            <w:tcW w:w="525" w:type="dxa"/>
            <w:shd w:val="clear" w:color="auto" w:fill="F0F0F0"/>
          </w:tcPr>
          <w:p>
            <w:pPr>
              <w:pBdr>
                <w:top w:val="" w:sz="6"/>
                <w:left w:val="" w:sz="6"/>
                <w:bottom w:val="" w:sz="6"/>
                <w:right w:val="" w:sz="6"/>
                <w:between w:val="" w:sz="6"/>
              </w:pBdr>
              <w:rPr>
                <w:rFonts w:ascii="Courier New" w:hAnsi="Courier New" w:cs="Courier New" w:eastAsia="Courier New"/>
                <w:sz w:val="12"/>
              </w:rPr>
            </w:pPr>
            <w:r>
              <w:rPr>
                <w:rFonts w:ascii="Courier New" w:hAnsi="Courier New" w:cs="Courier New" w:eastAsia="Courier New"/>
                <w:sz w:val="12"/>
              </w:rPr>
              <w:t>Ficha</w:t>
            </w:r>
          </w:p>
        </w:tc>
        <w:tc>
          <w:tcPr>
            <w:tcW w:w="525" w:type="dxa"/>
            <w:shd w:val="clear" w:color="auto" w:fill="F0F0F0"/>
          </w:tcPr>
          <w:p>
            <w:pPr>
              <w:pBdr>
                <w:top w:val="" w:sz="6"/>
                <w:left w:val="" w:sz="6"/>
                <w:bottom w:val="" w:sz="6"/>
                <w:right w:val="" w:sz="6"/>
                <w:between w:val="" w:sz="6"/>
              </w:pBdr>
              <w:rPr>
                <w:rFonts w:ascii="Courier New" w:hAnsi="Courier New" w:cs="Courier New" w:eastAsia="Courier New"/>
                <w:sz w:val="12"/>
              </w:rPr>
            </w:pPr>
            <w:r>
              <w:rPr>
                <w:rFonts w:ascii="Courier New" w:hAnsi="Courier New" w:cs="Courier New" w:eastAsia="Courier New"/>
                <w:sz w:val="12"/>
              </w:rPr>
              <w:t>Exer. Fic.</w:t>
            </w:r>
          </w:p>
        </w:tc>
        <w:tc>
          <w:tcPr>
            <w:tcW w:w="750" w:type="dxa"/>
            <w:shd w:val="clear" w:color="auto" w:fill="F0F0F0"/>
          </w:tcPr>
          <w:p>
            <w:pPr>
              <w:pBdr>
                <w:top w:val="" w:sz="6"/>
                <w:left w:val="" w:sz="6"/>
                <w:bottom w:val="" w:sz="6"/>
                <w:right w:val="" w:sz="6"/>
                <w:between w:val="" w:sz="6"/>
              </w:pBdr>
              <w:rPr>
                <w:rFonts w:ascii="Courier New" w:hAnsi="Courier New" w:cs="Courier New" w:eastAsia="Courier New"/>
                <w:sz w:val="12"/>
              </w:rPr>
            </w:pPr>
            <w:r>
              <w:rPr>
                <w:rFonts w:ascii="Courier New" w:hAnsi="Courier New" w:cs="Courier New" w:eastAsia="Courier New"/>
                <w:sz w:val="12"/>
              </w:rPr>
              <w:t>Unid. Exec.</w:t>
            </w:r>
          </w:p>
        </w:tc>
        <w:tc>
          <w:tcPr>
            <w:tcW w:w="2070" w:type="dxa"/>
            <w:shd w:val="clear" w:color="auto" w:fill="F0F0F0"/>
          </w:tcPr>
          <w:p>
            <w:pPr>
              <w:pBdr>
                <w:top w:val="" w:sz="6"/>
                <w:left w:val="" w:sz="6"/>
                <w:bottom w:val="" w:sz="6"/>
                <w:right w:val="" w:sz="6"/>
                <w:between w:val="" w:sz="6"/>
              </w:pBdr>
              <w:rPr>
                <w:rFonts w:ascii="Courier New" w:hAnsi="Courier New" w:cs="Courier New" w:eastAsia="Courier New"/>
                <w:sz w:val="12"/>
              </w:rPr>
            </w:pPr>
            <w:r>
              <w:rPr>
                <w:rFonts w:ascii="Courier New" w:hAnsi="Courier New" w:cs="Courier New" w:eastAsia="Courier New"/>
                <w:sz w:val="12"/>
              </w:rPr>
              <w:t>Funcional</w:t>
            </w:r>
          </w:p>
        </w:tc>
        <w:tc>
          <w:tcPr>
            <w:tcW w:w="1290" w:type="dxa"/>
            <w:shd w:val="clear" w:color="auto" w:fill="F0F0F0"/>
          </w:tcPr>
          <w:p>
            <w:pPr>
              <w:pBdr>
                <w:top w:val="" w:sz="6"/>
                <w:left w:val="" w:sz="6"/>
                <w:bottom w:val="" w:sz="6"/>
                <w:right w:val="" w:sz="6"/>
                <w:between w:val="" w:sz="6"/>
              </w:pBdr>
              <w:rPr>
                <w:rFonts w:ascii="Courier New" w:hAnsi="Courier New" w:cs="Courier New" w:eastAsia="Courier New"/>
                <w:sz w:val="12"/>
              </w:rPr>
            </w:pPr>
            <w:r>
              <w:rPr>
                <w:rFonts w:ascii="Courier New" w:hAnsi="Courier New" w:cs="Courier New" w:eastAsia="Courier New"/>
                <w:sz w:val="12"/>
              </w:rPr>
              <w:t>Categoria</w:t>
            </w:r>
          </w:p>
        </w:tc>
        <w:tc>
          <w:tcPr>
            <w:tcW w:w="855" w:type="dxa"/>
            <w:shd w:val="clear" w:color="auto" w:fill="F0F0F0"/>
          </w:tcPr>
          <w:p>
            <w:pPr>
              <w:pBdr>
                <w:top w:val="" w:sz="6"/>
                <w:left w:val="" w:sz="6"/>
                <w:bottom w:val="" w:sz="6"/>
                <w:right w:val="" w:sz="6"/>
                <w:between w:val="" w:sz="6"/>
              </w:pBdr>
              <w:rPr>
                <w:rFonts w:ascii="Courier New" w:hAnsi="Courier New" w:cs="Courier New" w:eastAsia="Courier New"/>
                <w:sz w:val="12"/>
              </w:rPr>
            </w:pPr>
            <w:r>
              <w:rPr>
                <w:rFonts w:ascii="Courier New" w:hAnsi="Courier New" w:cs="Courier New" w:eastAsia="Courier New"/>
                <w:sz w:val="12"/>
              </w:rPr>
              <w:t>Fonte Recurso</w:t>
            </w:r>
          </w:p>
        </w:tc>
        <w:tc>
          <w:tcPr>
            <w:tcW w:w="975" w:type="dxa"/>
            <w:shd w:val="clear" w:color="auto" w:fill="F0F0F0"/>
          </w:tcPr>
          <w:p>
            <w:pPr>
              <w:pBdr>
                <w:top w:val="" w:sz="6"/>
                <w:left w:val="" w:sz="6"/>
                <w:bottom w:val="" w:sz="6"/>
                <w:right w:val="" w:sz="6"/>
                <w:between w:val="" w:sz="6"/>
              </w:pBdr>
              <w:rPr>
                <w:rFonts w:ascii="Courier New" w:hAnsi="Courier New" w:cs="Courier New" w:eastAsia="Courier New"/>
                <w:sz w:val="12"/>
              </w:rPr>
            </w:pPr>
            <w:r>
              <w:rPr>
                <w:rFonts w:ascii="Courier New" w:hAnsi="Courier New" w:cs="Courier New" w:eastAsia="Courier New"/>
                <w:sz w:val="12"/>
              </w:rPr>
              <w:t>Valor</w:t>
            </w:r>
          </w:p>
        </w:tc>
        <w:tc>
          <w:tcPr>
            <w:tcW w:w="975" w:type="dxa"/>
            <w:shd w:val="clear" w:color="auto" w:fill="F0F0F0"/>
          </w:tcPr>
          <w:p>
            <w:pPr>
              <w:pBdr>
                <w:top w:val="" w:sz="6"/>
                <w:left w:val="" w:sz="6"/>
                <w:bottom w:val="" w:sz="6"/>
                <w:right w:val="" w:sz="6"/>
                <w:between w:val="" w:sz="6"/>
              </w:pBdr>
              <w:rPr>
                <w:rFonts w:ascii="Courier New" w:hAnsi="Courier New" w:cs="Courier New" w:eastAsia="Courier New"/>
                <w:sz w:val="12"/>
              </w:rPr>
            </w:pPr>
            <w:r>
              <w:rPr>
                <w:rFonts w:ascii="Courier New" w:hAnsi="Courier New" w:cs="Courier New" w:eastAsia="Courier New"/>
                <w:sz w:val="12"/>
              </w:rPr>
              <w:t>Saldo</w:t>
            </w:r>
          </w:p>
        </w:tc>
        <w:tc>
          <w:tcPr>
            <w:tcW w:w="990" w:type="dxa"/>
            <w:shd w:val="clear" w:color="auto" w:fill="F0F0F0"/>
          </w:tcPr>
          <w:p>
            <w:pPr>
              <w:pBdr>
                <w:top w:val="" w:sz="6"/>
                <w:left w:val="" w:sz="6"/>
                <w:bottom w:val="" w:sz="6"/>
                <w:right w:val="" w:sz="6"/>
                <w:between w:val="" w:sz="6"/>
              </w:pBdr>
              <w:rPr>
                <w:rFonts w:ascii="Courier New" w:hAnsi="Courier New" w:cs="Courier New" w:eastAsia="Courier New"/>
                <w:sz w:val="12"/>
              </w:rPr>
            </w:pPr>
            <w:r>
              <w:rPr>
                <w:rFonts w:ascii="Courier New" w:hAnsi="Courier New" w:cs="Courier New" w:eastAsia="Courier New"/>
                <w:sz w:val="12"/>
              </w:rPr>
              <w:t>Saldo Com Reserva</w:t>
            </w:r>
          </w:p>
        </w:tc>
      </w:tr>
      <w:tr>
        <w:tc>
          <w:tcPr>
            <w:tcW w:w="525" w:type="dxa"/>
            <w:shd w:val="clear" w:color="auto" w:fill="FFFFFF"/>
          </w:tcPr>
          <w:p>
            <w:pPr>
              <w:pBdr>
                <w:top w:val="" w:sz="6"/>
                <w:left w:val="" w:sz="6"/>
                <w:bottom w:val="" w:sz="6"/>
                <w:right w:val="" w:sz="6"/>
                <w:between w:val="" w:sz="6"/>
              </w:pBdr>
              <w:rPr>
                <w:rFonts w:ascii="Courier New" w:hAnsi="Courier New" w:cs="Courier New" w:eastAsia="Courier New"/>
                <w:sz w:val="12"/>
              </w:rPr>
            </w:pPr>
            <w:r>
              <w:rPr>
                <w:rFonts w:ascii="Courier New" w:hAnsi="Courier New" w:cs="Courier New" w:eastAsia="Courier New"/>
                <w:sz w:val="12"/>
              </w:rPr>
              <w:t>216</w:t>
            </w:r>
          </w:p>
        </w:tc>
        <w:tc>
          <w:tcPr>
            <w:tcW w:w="525" w:type="dxa"/>
            <w:shd w:val="clear" w:color="auto" w:fill="FFFFFF"/>
          </w:tcPr>
          <w:p>
            <w:pPr>
              <w:pBdr>
                <w:top w:val="" w:sz="6"/>
                <w:left w:val="" w:sz="6"/>
                <w:bottom w:val="" w:sz="6"/>
                <w:right w:val="" w:sz="6"/>
                <w:between w:val="" w:sz="6"/>
              </w:pBdr>
              <w:rPr>
                <w:rFonts w:ascii="Courier New" w:hAnsi="Courier New" w:cs="Courier New" w:eastAsia="Courier New"/>
                <w:sz w:val="12"/>
              </w:rPr>
            </w:pPr>
            <w:r>
              <w:rPr>
                <w:rFonts w:ascii="Courier New" w:hAnsi="Courier New" w:cs="Courier New" w:eastAsia="Courier New"/>
                <w:sz w:val="12"/>
              </w:rPr>
              <w:t>2026</w:t>
            </w:r>
          </w:p>
        </w:tc>
        <w:tc>
          <w:tcPr>
            <w:tcW w:w="750" w:type="dxa"/>
            <w:shd w:val="clear" w:color="auto" w:fill="FFFFFF"/>
          </w:tcPr>
          <w:p>
            <w:pPr>
              <w:pBdr>
                <w:top w:val="" w:sz="6"/>
                <w:left w:val="" w:sz="6"/>
                <w:bottom w:val="" w:sz="6"/>
                <w:right w:val="" w:sz="6"/>
                <w:between w:val="" w:sz="6"/>
              </w:pBdr>
              <w:rPr>
                <w:rFonts w:ascii="Courier New" w:hAnsi="Courier New" w:cs="Courier New" w:eastAsia="Courier New"/>
                <w:sz w:val="12"/>
              </w:rPr>
            </w:pPr>
            <w:r>
              <w:rPr>
                <w:rFonts w:ascii="Courier New" w:hAnsi="Courier New" w:cs="Courier New" w:eastAsia="Courier New"/>
                <w:sz w:val="12"/>
              </w:rPr>
              <w:t>010603</w:t>
            </w:r>
          </w:p>
        </w:tc>
        <w:tc>
          <w:tcPr>
            <w:tcW w:w="2070" w:type="dxa"/>
            <w:shd w:val="clear" w:color="auto" w:fill="FFFFFF"/>
          </w:tcPr>
          <w:p>
            <w:pPr>
              <w:pBdr>
                <w:top w:val="" w:sz="6"/>
                <w:left w:val="" w:sz="6"/>
                <w:bottom w:val="" w:sz="6"/>
                <w:right w:val="" w:sz="6"/>
                <w:between w:val="" w:sz="6"/>
              </w:pBdr>
              <w:rPr>
                <w:rFonts w:ascii="Courier New" w:hAnsi="Courier New" w:cs="Courier New" w:eastAsia="Courier New"/>
                <w:sz w:val="12"/>
              </w:rPr>
            </w:pPr>
            <w:r>
              <w:rPr>
                <w:rFonts w:ascii="Courier New" w:hAnsi="Courier New" w:cs="Courier New" w:eastAsia="Courier New"/>
                <w:sz w:val="12"/>
              </w:rPr>
              <w:t>12.361.0028.2035.0000</w:t>
            </w:r>
          </w:p>
        </w:tc>
        <w:tc>
          <w:tcPr>
            <w:tcW w:w="1290" w:type="dxa"/>
            <w:shd w:val="clear" w:color="auto" w:fill="FFFFFF"/>
          </w:tcPr>
          <w:p>
            <w:pPr>
              <w:pBdr>
                <w:top w:val="" w:sz="6"/>
                <w:left w:val="" w:sz="6"/>
                <w:bottom w:val="" w:sz="6"/>
                <w:right w:val="" w:sz="6"/>
                <w:between w:val="" w:sz="6"/>
              </w:pBdr>
              <w:rPr>
                <w:rFonts w:ascii="Courier New" w:hAnsi="Courier New" w:cs="Courier New" w:eastAsia="Courier New"/>
                <w:sz w:val="12"/>
              </w:rPr>
            </w:pPr>
            <w:r>
              <w:rPr>
                <w:rFonts w:ascii="Courier New" w:hAnsi="Courier New" w:cs="Courier New" w:eastAsia="Courier New"/>
                <w:sz w:val="12"/>
              </w:rPr>
              <w:t>3.3.90.32.99.00.00.00</w:t>
            </w:r>
          </w:p>
        </w:tc>
        <w:tc>
          <w:tcPr>
            <w:tcW w:w="855" w:type="dxa"/>
            <w:shd w:val="clear" w:color="auto" w:fill="FFFFFF"/>
          </w:tcPr>
          <w:p>
            <w:pPr>
              <w:pBdr>
                <w:top w:val="" w:sz="6"/>
                <w:left w:val="" w:sz="6"/>
                <w:bottom w:val="" w:sz="6"/>
                <w:right w:val="" w:sz="6"/>
                <w:between w:val="" w:sz="6"/>
              </w:pBdr>
              <w:rPr>
                <w:rFonts w:ascii="Courier New" w:hAnsi="Courier New" w:cs="Courier New" w:eastAsia="Courier New"/>
                <w:sz w:val="12"/>
              </w:rPr>
            </w:pPr>
            <w:r>
              <w:rPr>
                <w:rFonts w:ascii="Courier New" w:hAnsi="Courier New" w:cs="Courier New" w:eastAsia="Courier New"/>
                <w:sz w:val="12"/>
              </w:rPr>
              <w:t>1.1.1500</w:t>
            </w:r>
          </w:p>
        </w:tc>
        <w:tc>
          <w:tcPr>
            <w:tcW w:w="975" w:type="dxa"/>
            <w:shd w:val="clear" w:color="auto" w:fill="FFFFFF"/>
          </w:tcPr>
          <w:p>
            <w:pPr>
              <w:jc w:val="right"/>
              <w:pBdr>
                <w:top w:val="" w:sz="6"/>
                <w:left w:val="" w:sz="6"/>
                <w:bottom w:val="" w:sz="6"/>
                <w:right w:val="" w:sz="6"/>
                <w:between w:val="" w:sz="6"/>
              </w:pBdr>
              <w:rPr>
                <w:rFonts w:ascii="Courier New" w:hAnsi="Courier New" w:cs="Courier New" w:eastAsia="Courier New"/>
                <w:sz w:val="12"/>
              </w:rPr>
            </w:pPr>
            <w:r>
              <w:rPr>
                <w:rFonts w:ascii="Courier New" w:hAnsi="Courier New" w:cs="Courier New" w:eastAsia="Courier New"/>
                <w:sz w:val="12"/>
              </w:rPr>
              <w:t>24.060,00</w:t>
            </w:r>
          </w:p>
        </w:tc>
        <w:tc>
          <w:tcPr>
            <w:tcW w:w="975" w:type="dxa"/>
            <w:shd w:val="clear" w:color="auto" w:fill="FFFFFF"/>
          </w:tcPr>
          <w:p>
            <w:pPr>
              <w:jc w:val="right"/>
              <w:pBdr>
                <w:top w:val="" w:sz="6"/>
                <w:left w:val="" w:sz="6"/>
                <w:bottom w:val="" w:sz="6"/>
                <w:right w:val="" w:sz="6"/>
                <w:between w:val="" w:sz="6"/>
              </w:pBdr>
              <w:rPr>
                <w:rFonts w:ascii="Courier New" w:hAnsi="Courier New" w:cs="Courier New" w:eastAsia="Courier New"/>
                <w:sz w:val="12"/>
              </w:rPr>
            </w:pPr>
            <w:r>
              <w:rPr>
                <w:rFonts w:ascii="Courier New" w:hAnsi="Courier New" w:cs="Courier New" w:eastAsia="Courier New"/>
                <w:sz w:val="12"/>
              </w:rPr>
              <w:t>10.174,80</w:t>
            </w:r>
          </w:p>
        </w:tc>
        <w:tc>
          <w:tcPr>
            <w:tcW w:w="990" w:type="dxa"/>
            <w:shd w:val="clear" w:color="auto" w:fill="FFFFFF"/>
          </w:tcPr>
          <w:p>
            <w:pPr>
              <w:jc w:val="right"/>
              <w:pBdr>
                <w:top w:val="" w:sz="6"/>
                <w:left w:val="" w:sz="6"/>
                <w:bottom w:val="" w:sz="6"/>
                <w:right w:val="" w:sz="6"/>
                <w:between w:val="" w:sz="6"/>
              </w:pBdr>
              <w:rPr>
                <w:rFonts w:ascii="Courier New" w:hAnsi="Courier New" w:cs="Courier New" w:eastAsia="Courier New"/>
                <w:sz w:val="12"/>
              </w:rPr>
            </w:pPr>
            <w:r>
              <w:rPr>
                <w:rFonts w:ascii="Courier New" w:hAnsi="Courier New" w:cs="Courier New" w:eastAsia="Courier New"/>
                <w:sz w:val="12"/>
              </w:rPr>
              <w:t>10.174,80</w:t>
            </w:r>
          </w:p>
        </w:tc>
      </w:tr>
    </w:tbl>
    <w:p>
      <w:pPr>
        <w:jc w:val="both"/>
        <w:pBdr>
          <w:top w:val="" w:sz="6"/>
          <w:left w:val="" w:sz="6"/>
          <w:bottom w:val="" w:sz="6"/>
          <w:right w:val="" w:sz="6"/>
          <w:between w:val="" w:sz="6"/>
        </w:pBdr>
        <w:rPr>
          <w:rFonts w:ascii="Courier New" w:hAnsi="Courier New" w:cs="Courier New" w:eastAsia="Courier New"/>
          <w:sz w:val="12"/>
        </w:rPr>
      </w:pPr>
      <w:r>
        <w:rPr>
          <w:rFonts w:ascii="Courier New" w:hAnsi="Courier New" w:cs="Courier New" w:eastAsia="Courier New"/>
          <w:sz w:val="12"/>
        </w:rPr>
        <w:t xml:space="preserve"> </w:t>
      </w:r>
    </w:p>
    <w:p>
      <w:pPr>
        <w:jc w:val="both"/>
        <w:pBdr>
          <w:top w:val="" w:sz="6"/>
          <w:left w:val="" w:sz="6"/>
          <w:bottom w:val="" w:sz="6"/>
          <w:right w:val="" w:sz="6"/>
          <w:between w:val="" w:sz="6"/>
        </w:pBdr>
        <w:rPr>
          <w:rFonts w:ascii="Times New Roman" w:hAnsi="Times New Roman" w:cs="Times New Roman" w:eastAsia="Times New Roman"/>
          <w:sz w:val="24"/>
        </w:rPr>
      </w:pPr>
      <w:r>
        <w:rPr>
          <w:rFonts w:ascii="Times New Roman" w:hAnsi="Times New Roman" w:cs="Times New Roman" w:eastAsia="Times New Roman"/>
          <w:sz w:val="24"/>
        </w:rPr>
        <w:t/>
      </w:r>
    </w:p>
    <w:p>
      <w:pPr>
        <w:jc w:val="both"/>
        <w:pBdr>
          <w:top w:val="" w:sz="6"/>
          <w:left w:val="" w:sz="6"/>
          <w:bottom w:val="" w:sz="6"/>
          <w:right w:val="" w:sz="6"/>
          <w:between w:val="" w:sz="6"/>
        </w:pBdr>
        <w:rPr>
          <w:rFonts w:ascii="Times New Roman" w:hAnsi="Times New Roman" w:cs="Times New Roman" w:eastAsia="Times New Roman"/>
          <w:sz w:val="24"/>
        </w:rPr>
      </w:pPr>
      <w:r>
        <w:rPr>
          <w:rFonts w:ascii="Times New Roman" w:hAnsi="Times New Roman" w:cs="Times New Roman" w:eastAsia="Times New Roman"/>
          <w:sz w:val="24"/>
        </w:rPr>
        <w:t xml:space="preserve">7. </w:t>
      </w:r>
      <w:r>
        <w:rPr>
          <w:rFonts w:ascii="Times New Roman" w:hAnsi="Times New Roman" w:cs="Times New Roman" w:eastAsia="Times New Roman"/>
          <w:sz w:val="24"/>
        </w:rPr>
        <w:tab/>
      </w:r>
      <w:r>
        <w:rPr>
          <w:rFonts w:ascii="Times New Roman" w:hAnsi="Times New Roman" w:cs="Times New Roman" w:eastAsia="Times New Roman"/>
          <w:sz w:val="24"/>
        </w:rPr>
        <w:tab/>
      </w:r>
      <w:r>
        <w:rPr>
          <w:rFonts w:ascii="Times New Roman" w:hAnsi="Times New Roman" w:cs="Times New Roman" w:eastAsia="Times New Roman"/>
          <w:sz w:val="24"/>
        </w:rPr>
        <w:t xml:space="preserve">Consoante o disposto nos Estudos Técnicos Preliminares e no Termo de Referência ou Projeto Básico, o objeto licitado tem natureza de bem comum e o critério de julgamento do certame deverá ser o </w:t>
      </w:r>
      <w:r>
        <w:rPr>
          <w:rFonts w:ascii="Times New Roman" w:hAnsi="Times New Roman" w:cs="Times New Roman" w:eastAsia="Times New Roman"/>
          <w:b/>
          <w:sz w:val="24"/>
        </w:rPr>
        <w:t>Menor Preco Global</w:t>
      </w:r>
      <w:r>
        <w:rPr>
          <w:rFonts w:ascii="Times New Roman" w:hAnsi="Times New Roman" w:cs="Times New Roman" w:eastAsia="Times New Roman"/>
          <w:sz w:val="24"/>
        </w:rPr>
        <w:t xml:space="preserve">, pelo que se mostra adequada a modalidade de licitação eleita, no caso: </w:t>
      </w:r>
      <w:r>
        <w:rPr>
          <w:rFonts w:ascii="Times New Roman" w:hAnsi="Times New Roman" w:cs="Times New Roman" w:eastAsia="Times New Roman"/>
          <w:b/>
          <w:sz w:val="24"/>
        </w:rPr>
        <w:t>PREGÃO ELETRÔNICO (PORTAL DE COMPRAS)</w:t>
      </w:r>
      <w:r>
        <w:rPr>
          <w:rFonts w:ascii="Times New Roman" w:hAnsi="Times New Roman" w:cs="Times New Roman" w:eastAsia="Times New Roman"/>
          <w:sz w:val="24"/>
        </w:rPr>
        <w:t>, nos termos dos artigos 6º, XLI, 29, parágrafo único, 33, I, e 34, todos da Lei Federal nº 14.133/2021.</w:t>
      </w:r>
    </w:p>
    <w:p>
      <w:pPr>
        <w:jc w:val="both"/>
        <w:pBdr>
          <w:top w:val="" w:sz="6"/>
          <w:left w:val="" w:sz="6"/>
          <w:bottom w:val="" w:sz="6"/>
          <w:right w:val="" w:sz="6"/>
          <w:between w:val="" w:sz="6"/>
        </w:pBdr>
        <w:rPr>
          <w:rFonts w:ascii="Times New Roman" w:hAnsi="Times New Roman" w:cs="Times New Roman" w:eastAsia="Times New Roman"/>
          <w:sz w:val="24"/>
        </w:rPr>
      </w:pPr>
      <w:r>
        <w:rPr>
          <w:rFonts w:ascii="Times New Roman" w:hAnsi="Times New Roman" w:cs="Times New Roman" w:eastAsia="Times New Roman"/>
          <w:sz w:val="24"/>
        </w:rPr>
        <w:t/>
      </w:r>
    </w:p>
    <w:p>
      <w:pPr>
        <w:jc w:val="both"/>
        <w:pBdr>
          <w:top w:val="" w:sz="6"/>
          <w:left w:val="" w:sz="6"/>
          <w:bottom w:val="" w:sz="6"/>
          <w:right w:val="" w:sz="6"/>
          <w:between w:val="" w:sz="6"/>
        </w:pBdr>
        <w:rPr>
          <w:rFonts w:ascii="Times New Roman" w:hAnsi="Times New Roman" w:cs="Times New Roman" w:eastAsia="Times New Roman"/>
          <w:sz w:val="24"/>
        </w:rPr>
      </w:pPr>
      <w:r>
        <w:rPr>
          <w:rFonts w:ascii="Times New Roman" w:hAnsi="Times New Roman" w:cs="Times New Roman" w:eastAsia="Times New Roman"/>
          <w:sz w:val="24"/>
        </w:rPr>
        <w:t xml:space="preserve">8. </w:t>
      </w:r>
      <w:r>
        <w:rPr>
          <w:rFonts w:ascii="Times New Roman" w:hAnsi="Times New Roman" w:cs="Times New Roman" w:eastAsia="Times New Roman"/>
          <w:sz w:val="24"/>
        </w:rPr>
        <w:tab/>
      </w:r>
      <w:r>
        <w:rPr>
          <w:rFonts w:ascii="Times New Roman" w:hAnsi="Times New Roman" w:cs="Times New Roman" w:eastAsia="Times New Roman"/>
          <w:sz w:val="24"/>
        </w:rPr>
        <w:tab/>
      </w:r>
      <w:r>
        <w:rPr>
          <w:rFonts w:ascii="Times New Roman" w:hAnsi="Times New Roman" w:cs="Times New Roman" w:eastAsia="Times New Roman"/>
          <w:sz w:val="24"/>
        </w:rPr>
        <w:t>Tendo em vista o critério de julgamento aplicável à espécie, o prazo mínimo para apresentação de propostas e lances, contados a partir da data de divulgação do edital de licitação no Portal Nacional de Contratações Públicas (PNCP) e no site eletrônico do Município, deverá ser de 8 (oito) dias úteis.</w:t>
      </w:r>
    </w:p>
    <w:p>
      <w:pPr>
        <w:jc w:val="both"/>
        <w:pBdr>
          <w:top w:val="" w:sz="6"/>
          <w:left w:val="" w:sz="6"/>
          <w:bottom w:val="" w:sz="6"/>
          <w:right w:val="" w:sz="6"/>
          <w:between w:val="" w:sz="6"/>
        </w:pBdr>
        <w:rPr>
          <w:rFonts w:ascii="Times New Roman" w:hAnsi="Times New Roman" w:cs="Times New Roman" w:eastAsia="Times New Roman"/>
          <w:sz w:val="24"/>
        </w:rPr>
      </w:pPr>
      <w:r>
        <w:rPr>
          <w:rFonts w:ascii="Times New Roman" w:hAnsi="Times New Roman" w:cs="Times New Roman" w:eastAsia="Times New Roman"/>
          <w:sz w:val="24"/>
        </w:rPr>
        <w:t/>
      </w:r>
    </w:p>
    <w:p>
      <w:pPr>
        <w:jc w:val="both"/>
        <w:pBdr>
          <w:top w:val="" w:sz="6"/>
          <w:left w:val="" w:sz="6"/>
          <w:bottom w:val="" w:sz="6"/>
          <w:right w:val="" w:sz="6"/>
          <w:between w:val="" w:sz="6"/>
        </w:pBdr>
        <w:rPr>
          <w:rFonts w:ascii="Times New Roman" w:hAnsi="Times New Roman" w:cs="Times New Roman" w:eastAsia="Times New Roman"/>
          <w:sz w:val="24"/>
        </w:rPr>
      </w:pPr>
      <w:r>
        <w:rPr>
          <w:rFonts w:ascii="Times New Roman" w:hAnsi="Times New Roman" w:cs="Times New Roman" w:eastAsia="Times New Roman"/>
          <w:sz w:val="24"/>
        </w:rPr>
        <w:t xml:space="preserve">9. </w:t>
      </w:r>
      <w:r>
        <w:rPr>
          <w:rFonts w:ascii="Times New Roman" w:hAnsi="Times New Roman" w:cs="Times New Roman" w:eastAsia="Times New Roman"/>
          <w:sz w:val="24"/>
        </w:rPr>
        <w:tab/>
      </w:r>
      <w:r>
        <w:rPr>
          <w:rFonts w:ascii="Times New Roman" w:hAnsi="Times New Roman" w:cs="Times New Roman" w:eastAsia="Times New Roman"/>
          <w:sz w:val="24"/>
        </w:rPr>
        <w:tab/>
      </w:r>
      <w:r>
        <w:rPr>
          <w:rFonts w:ascii="Times New Roman" w:hAnsi="Times New Roman" w:cs="Times New Roman" w:eastAsia="Times New Roman"/>
          <w:sz w:val="24"/>
        </w:rPr>
        <w:t>A minuta de edital de licitação estabelece, em síntese, as condições para participação no certame, incluindo vedações, requisitos de habilitação dos licitantes, hipóteses de classificação das propostas de preços, pedidos de esclarecimentos e impugnações, sanções e recursos, acerca do que não há o que opor sob o aspecto jurídico.</w:t>
      </w:r>
    </w:p>
    <w:p>
      <w:pPr>
        <w:jc w:val="both"/>
        <w:pBdr>
          <w:top w:val="" w:sz="6"/>
          <w:left w:val="" w:sz="6"/>
          <w:bottom w:val="" w:sz="6"/>
          <w:right w:val="" w:sz="6"/>
          <w:between w:val="" w:sz="6"/>
        </w:pBdr>
        <w:rPr>
          <w:rFonts w:ascii="Times New Roman" w:hAnsi="Times New Roman" w:cs="Times New Roman" w:eastAsia="Times New Roman"/>
          <w:sz w:val="24"/>
        </w:rPr>
      </w:pPr>
      <w:r>
        <w:rPr>
          <w:rFonts w:ascii="Times New Roman" w:hAnsi="Times New Roman" w:cs="Times New Roman" w:eastAsia="Times New Roman"/>
          <w:sz w:val="24"/>
        </w:rPr>
        <w:t/>
      </w:r>
    </w:p>
    <w:p>
      <w:pPr>
        <w:jc w:val="both"/>
        <w:pBdr>
          <w:top w:val="" w:sz="6"/>
          <w:left w:val="" w:sz="6"/>
          <w:bottom w:val="" w:sz="6"/>
          <w:right w:val="" w:sz="6"/>
          <w:between w:val="" w:sz="6"/>
        </w:pBdr>
        <w:rPr>
          <w:rFonts w:ascii="Times New Roman" w:hAnsi="Times New Roman" w:cs="Times New Roman" w:eastAsia="Times New Roman"/>
          <w:sz w:val="24"/>
        </w:rPr>
      </w:pPr>
      <w:r>
        <w:rPr>
          <w:rFonts w:ascii="Times New Roman" w:hAnsi="Times New Roman" w:cs="Times New Roman" w:eastAsia="Times New Roman"/>
          <w:sz w:val="24"/>
        </w:rPr>
        <w:t xml:space="preserve">10. </w:t>
      </w:r>
      <w:r>
        <w:rPr>
          <w:rFonts w:ascii="Times New Roman" w:hAnsi="Times New Roman" w:cs="Times New Roman" w:eastAsia="Times New Roman"/>
          <w:sz w:val="24"/>
        </w:rPr>
        <w:tab/>
      </w:r>
      <w:r>
        <w:rPr>
          <w:rFonts w:ascii="Times New Roman" w:hAnsi="Times New Roman" w:cs="Times New Roman" w:eastAsia="Times New Roman"/>
          <w:sz w:val="24"/>
        </w:rPr>
        <w:tab/>
      </w:r>
      <w:r>
        <w:rPr>
          <w:rFonts w:ascii="Times New Roman" w:hAnsi="Times New Roman" w:cs="Times New Roman" w:eastAsia="Times New Roman"/>
          <w:sz w:val="24"/>
        </w:rPr>
        <w:t>A minuta de contrato, adaptada ao objeto da presente licitação, prevê as cláusulas necessárias para o cumprimento da obrigação, nos termos do art. 92 da Lei Federal nº 14.133/2021 .</w:t>
      </w:r>
    </w:p>
    <w:p>
      <w:pPr>
        <w:jc w:val="both"/>
        <w:pBdr>
          <w:top w:val="" w:sz="6"/>
          <w:left w:val="" w:sz="6"/>
          <w:bottom w:val="" w:sz="6"/>
          <w:right w:val="" w:sz="6"/>
          <w:between w:val="" w:sz="6"/>
        </w:pBdr>
        <w:rPr>
          <w:rFonts w:ascii="Times New Roman" w:hAnsi="Times New Roman" w:cs="Times New Roman" w:eastAsia="Times New Roman"/>
          <w:sz w:val="24"/>
        </w:rPr>
      </w:pPr>
      <w:r>
        <w:rPr>
          <w:rFonts w:ascii="Times New Roman" w:hAnsi="Times New Roman" w:cs="Times New Roman" w:eastAsia="Times New Roman"/>
          <w:sz w:val="24"/>
        </w:rPr>
        <w:t/>
      </w:r>
    </w:p>
    <w:p>
      <w:pPr>
        <w:jc w:val="both"/>
        <w:pBdr>
          <w:top w:val="" w:sz="6"/>
          <w:left w:val="" w:sz="6"/>
          <w:bottom w:val="" w:sz="6"/>
          <w:right w:val="" w:sz="6"/>
          <w:between w:val="" w:sz="6"/>
        </w:pBdr>
        <w:rPr>
          <w:rFonts w:ascii="Times New Roman" w:hAnsi="Times New Roman" w:cs="Times New Roman" w:eastAsia="Times New Roman"/>
          <w:sz w:val="24"/>
        </w:rPr>
      </w:pPr>
      <w:r>
        <w:rPr>
          <w:rFonts w:ascii="Times New Roman" w:hAnsi="Times New Roman" w:cs="Times New Roman" w:eastAsia="Times New Roman"/>
          <w:sz w:val="24"/>
        </w:rPr>
        <w:t xml:space="preserve">11.  </w:t>
      </w:r>
      <w:r>
        <w:rPr>
          <w:rFonts w:ascii="Times New Roman" w:hAnsi="Times New Roman" w:cs="Times New Roman" w:eastAsia="Times New Roman"/>
          <w:sz w:val="24"/>
        </w:rPr>
        <w:tab/>
      </w:r>
      <w:r>
        <w:rPr>
          <w:rFonts w:ascii="Times New Roman" w:hAnsi="Times New Roman" w:cs="Times New Roman" w:eastAsia="Times New Roman"/>
          <w:sz w:val="24"/>
        </w:rPr>
        <w:tab/>
      </w:r>
      <w:r>
        <w:rPr>
          <w:rFonts w:ascii="Times New Roman" w:hAnsi="Times New Roman" w:cs="Times New Roman" w:eastAsia="Times New Roman"/>
          <w:sz w:val="24"/>
        </w:rPr>
        <w:t>Registre-se que o presente processo licitatório deverá observar o rito procedimental comum previsto no art. 17 da Lei Federal nº 14.133/2021, pelo que encerradas as fases de julgamento e habilitação, e exauridos os recursos administrativos, o presente feito deverá ser encaminhado à autoridade superior, que poderá (art. 12 da NLL):</w:t>
      </w:r>
    </w:p>
    <w:p>
      <w:pPr>
        <w:jc w:val="both"/>
        <w:pBdr>
          <w:top w:val="" w:sz="6"/>
          <w:left w:val="" w:sz="6"/>
          <w:bottom w:val="" w:sz="6"/>
          <w:right w:val="" w:sz="6"/>
          <w:between w:val="" w:sz="6"/>
        </w:pBdr>
        <w:rPr>
          <w:rFonts w:ascii="Times New Roman" w:hAnsi="Times New Roman" w:cs="Times New Roman" w:eastAsia="Times New Roman"/>
          <w:sz w:val="24"/>
        </w:rPr>
      </w:pPr>
      <w:r>
        <w:rPr>
          <w:rFonts w:ascii="Times New Roman" w:hAnsi="Times New Roman" w:cs="Times New Roman" w:eastAsia="Times New Roman"/>
          <w:sz w:val="24"/>
        </w:rPr>
        <w:t/>
      </w:r>
    </w:p>
    <w:p>
      <w:pPr>
        <w:jc w:val="both"/>
        <w:pBdr>
          <w:top w:val="" w:sz="6"/>
          <w:left w:val="" w:sz="6"/>
          <w:bottom w:val="" w:sz="6"/>
          <w:right w:val="" w:sz="6"/>
          <w:between w:val="" w:sz="6"/>
        </w:pBdr>
        <w:rPr>
          <w:rFonts w:ascii="Times New Roman" w:hAnsi="Times New Roman" w:cs="Times New Roman" w:eastAsia="Times New Roman"/>
          <w:sz w:val="24"/>
        </w:rPr>
      </w:pPr>
      <w:r>
        <w:rPr>
          <w:rFonts w:ascii="Times New Roman" w:hAnsi="Times New Roman" w:cs="Times New Roman" w:eastAsia="Times New Roman"/>
          <w:sz w:val="24"/>
        </w:rPr>
        <w:t>I - determinar o retorno dos autos para saneamento de irregularidades;</w:t>
      </w:r>
    </w:p>
    <w:p>
      <w:pPr>
        <w:jc w:val="both"/>
        <w:pBdr>
          <w:top w:val="" w:sz="6"/>
          <w:left w:val="" w:sz="6"/>
          <w:bottom w:val="" w:sz="6"/>
          <w:right w:val="" w:sz="6"/>
          <w:between w:val="" w:sz="6"/>
        </w:pBdr>
        <w:rPr>
          <w:rFonts w:ascii="Times New Roman" w:hAnsi="Times New Roman" w:cs="Times New Roman" w:eastAsia="Times New Roman"/>
          <w:sz w:val="24"/>
        </w:rPr>
      </w:pPr>
      <w:r>
        <w:rPr>
          <w:rFonts w:ascii="Times New Roman" w:hAnsi="Times New Roman" w:cs="Times New Roman" w:eastAsia="Times New Roman"/>
          <w:sz w:val="24"/>
        </w:rPr>
        <w:t>II - revogar a licitação por motivo de conveniência e oportunidade;</w:t>
      </w:r>
    </w:p>
    <w:p>
      <w:pPr>
        <w:jc w:val="both"/>
        <w:pBdr>
          <w:top w:val="" w:sz="6"/>
          <w:left w:val="" w:sz="6"/>
          <w:bottom w:val="" w:sz="6"/>
          <w:right w:val="" w:sz="6"/>
          <w:between w:val="" w:sz="6"/>
        </w:pBdr>
        <w:rPr>
          <w:rFonts w:ascii="Times New Roman" w:hAnsi="Times New Roman" w:cs="Times New Roman" w:eastAsia="Times New Roman"/>
          <w:sz w:val="24"/>
        </w:rPr>
      </w:pPr>
      <w:r>
        <w:rPr>
          <w:rFonts w:ascii="Times New Roman" w:hAnsi="Times New Roman" w:cs="Times New Roman" w:eastAsia="Times New Roman"/>
          <w:sz w:val="24"/>
        </w:rPr>
        <w:t>III - proceder à anulação da licitação, de ofício ou mediante provocação de terceiros, sempre que presente ilegalidade insanável;</w:t>
      </w:r>
    </w:p>
    <w:p>
      <w:pPr>
        <w:jc w:val="both"/>
        <w:pBdr>
          <w:top w:val="" w:sz="6"/>
          <w:left w:val="" w:sz="6"/>
          <w:bottom w:val="" w:sz="6"/>
          <w:right w:val="" w:sz="6"/>
          <w:between w:val="" w:sz="6"/>
        </w:pBdr>
        <w:rPr>
          <w:rFonts w:ascii="Times New Roman" w:hAnsi="Times New Roman" w:cs="Times New Roman" w:eastAsia="Times New Roman"/>
          <w:sz w:val="24"/>
        </w:rPr>
      </w:pPr>
      <w:r>
        <w:rPr>
          <w:rFonts w:ascii="Times New Roman" w:hAnsi="Times New Roman" w:cs="Times New Roman" w:eastAsia="Times New Roman"/>
          <w:sz w:val="24"/>
        </w:rPr>
        <w:t>IV - adjudicar o objeto e homologar a licitação.</w:t>
      </w:r>
    </w:p>
    <w:p>
      <w:pPr>
        <w:jc w:val="both"/>
        <w:pBdr>
          <w:top w:val="" w:sz="6"/>
          <w:left w:val="" w:sz="6"/>
          <w:bottom w:val="" w:sz="6"/>
          <w:right w:val="" w:sz="6"/>
          <w:between w:val="" w:sz="6"/>
        </w:pBdr>
        <w:rPr>
          <w:rFonts w:ascii="Times New Roman" w:hAnsi="Times New Roman" w:cs="Times New Roman" w:eastAsia="Times New Roman"/>
          <w:sz w:val="24"/>
        </w:rPr>
      </w:pPr>
      <w:r>
        <w:rPr>
          <w:rFonts w:ascii="Times New Roman" w:hAnsi="Times New Roman" w:cs="Times New Roman" w:eastAsia="Times New Roman"/>
          <w:sz w:val="24"/>
        </w:rPr>
        <w:t/>
      </w:r>
    </w:p>
    <w:p>
      <w:pPr>
        <w:jc w:val="both"/>
        <w:pBdr>
          <w:top w:val="" w:sz="6"/>
          <w:left w:val="" w:sz="6"/>
          <w:bottom w:val="" w:sz="6"/>
          <w:right w:val="" w:sz="6"/>
          <w:between w:val="" w:sz="6"/>
        </w:pBdr>
        <w:rPr>
          <w:rFonts w:ascii="Times New Roman" w:hAnsi="Times New Roman" w:cs="Times New Roman" w:eastAsia="Times New Roman"/>
          <w:sz w:val="24"/>
        </w:rPr>
      </w:pPr>
      <w:r>
        <w:rPr>
          <w:rFonts w:ascii="Times New Roman" w:hAnsi="Times New Roman" w:cs="Times New Roman" w:eastAsia="Times New Roman"/>
          <w:sz w:val="24"/>
        </w:rPr>
        <w:t xml:space="preserve">12. </w:t>
      </w:r>
      <w:r>
        <w:rPr>
          <w:rFonts w:ascii="Times New Roman" w:hAnsi="Times New Roman" w:cs="Times New Roman" w:eastAsia="Times New Roman"/>
          <w:sz w:val="24"/>
        </w:rPr>
        <w:tab/>
      </w:r>
      <w:r>
        <w:rPr>
          <w:rFonts w:ascii="Times New Roman" w:hAnsi="Times New Roman" w:cs="Times New Roman" w:eastAsia="Times New Roman"/>
          <w:sz w:val="24"/>
        </w:rPr>
        <w:tab/>
      </w:r>
      <w:r>
        <w:rPr>
          <w:rFonts w:ascii="Times New Roman" w:hAnsi="Times New Roman" w:cs="Times New Roman" w:eastAsia="Times New Roman"/>
          <w:sz w:val="24"/>
        </w:rPr>
        <w:t xml:space="preserve">Em face do exposto, opina-se pela regularidade jurídica do presente processo licitatório, pelo que nada obsta seja o presente feito encaminhado à autoridade superior, para que decida sobre a divulgação do edital de licitação e seus anexos. </w:t>
      </w:r>
    </w:p>
    <w:p>
      <w:pPr>
        <w:jc w:val="both"/>
        <w:pBdr>
          <w:top w:val="" w:sz="6"/>
          <w:left w:val="" w:sz="6"/>
          <w:bottom w:val="" w:sz="6"/>
          <w:right w:val="" w:sz="6"/>
          <w:between w:val="" w:sz="6"/>
        </w:pBdr>
        <w:rPr>
          <w:rFonts w:ascii="Times New Roman" w:hAnsi="Times New Roman" w:cs="Times New Roman" w:eastAsia="Times New Roman"/>
          <w:sz w:val="24"/>
        </w:rPr>
      </w:pPr>
      <w:r>
        <w:rPr>
          <w:rFonts w:ascii="Times New Roman" w:hAnsi="Times New Roman" w:cs="Times New Roman" w:eastAsia="Times New Roman"/>
          <w:sz w:val="24"/>
        </w:rPr>
        <w:t xml:space="preserve"> </w:t>
      </w:r>
      <w:r>
        <w:rPr>
          <w:rFonts w:ascii="Times New Roman" w:hAnsi="Times New Roman" w:cs="Times New Roman" w:eastAsia="Times New Roman"/>
          <w:sz w:val="24"/>
        </w:rPr>
        <w:tab/>
      </w:r>
      <w:r>
        <w:rPr>
          <w:rFonts w:ascii="Times New Roman" w:hAnsi="Times New Roman" w:cs="Times New Roman" w:eastAsia="Times New Roman"/>
          <w:sz w:val="24"/>
        </w:rPr>
        <w:tab/>
      </w:r>
      <w:r>
        <w:rPr>
          <w:rFonts w:ascii="Times New Roman" w:hAnsi="Times New Roman" w:cs="Times New Roman" w:eastAsia="Times New Roman"/>
          <w:sz w:val="24"/>
        </w:rPr>
        <w:tab/>
      </w:r>
      <w:r>
        <w:rPr>
          <w:rFonts w:ascii="Times New Roman" w:hAnsi="Times New Roman" w:cs="Times New Roman" w:eastAsia="Times New Roman"/>
          <w:sz w:val="24"/>
        </w:rPr>
        <w:t xml:space="preserve">      </w:t>
      </w:r>
    </w:p>
    <w:p>
      <w:pPr>
        <w:jc w:val="both"/>
        <w:pBdr>
          <w:top w:val="" w:sz="6"/>
          <w:left w:val="" w:sz="6"/>
          <w:bottom w:val="" w:sz="6"/>
          <w:right w:val="" w:sz="6"/>
          <w:between w:val="" w:sz="6"/>
        </w:pBdr>
        <w:rPr>
          <w:rFonts w:ascii="Times New Roman" w:hAnsi="Times New Roman" w:cs="Times New Roman" w:eastAsia="Times New Roman"/>
          <w:sz w:val="24"/>
        </w:rPr>
      </w:pPr>
      <w:r>
        <w:rPr>
          <w:rFonts w:ascii="Times New Roman" w:hAnsi="Times New Roman" w:cs="Times New Roman" w:eastAsia="Times New Roman"/>
          <w:sz w:val="24"/>
        </w:rPr>
        <w:t/>
      </w:r>
    </w:p>
    <w:p>
      <w:pPr>
        <w:jc w:val="center"/>
        <w:pBdr>
          <w:top w:val="" w:sz="6"/>
          <w:left w:val="" w:sz="6"/>
          <w:bottom w:val="" w:sz="6"/>
          <w:right w:val="" w:sz="6"/>
          <w:between w:val="" w:sz="6"/>
        </w:pBdr>
        <w:rPr>
          <w:rFonts w:ascii="Times New Roman" w:hAnsi="Times New Roman" w:cs="Times New Roman" w:eastAsia="Times New Roman"/>
          <w:sz w:val="24"/>
        </w:rPr>
      </w:pPr>
      <w:r>
        <w:rPr>
          <w:rFonts w:ascii="Times New Roman" w:hAnsi="Times New Roman" w:cs="Times New Roman" w:eastAsia="Times New Roman"/>
          <w:sz w:val="24"/>
        </w:rPr>
        <w:t>Quatro Irmãos - RS - 22/09/2026</w:t>
      </w:r>
    </w:p>
    <w:p>
      <w:pPr>
        <w:jc w:val="both"/>
        <w:pBdr>
          <w:top w:val="" w:sz="6"/>
          <w:left w:val="" w:sz="6"/>
          <w:bottom w:val="" w:sz="6"/>
          <w:right w:val="" w:sz="6"/>
          <w:between w:val="" w:sz="6"/>
        </w:pBdr>
        <w:rPr>
          <w:rFonts w:ascii="Times New Roman" w:hAnsi="Times New Roman" w:cs="Times New Roman" w:eastAsia="Times New Roman"/>
          <w:sz w:val="24"/>
        </w:rPr>
      </w:pPr>
      <w:r>
        <w:rPr>
          <w:rFonts w:ascii="Times New Roman" w:hAnsi="Times New Roman" w:cs="Times New Roman" w:eastAsia="Times New Roman"/>
          <w:sz w:val="24"/>
        </w:rPr>
        <w:t/>
      </w:r>
    </w:p>
    <w:p>
      <w:pPr>
        <w:jc w:val="both"/>
        <w:pBdr>
          <w:top w:val="" w:sz="6"/>
          <w:left w:val="" w:sz="6"/>
          <w:bottom w:val="" w:sz="6"/>
          <w:right w:val="" w:sz="6"/>
          <w:between w:val="" w:sz="6"/>
        </w:pBdr>
        <w:rPr>
          <w:rFonts w:ascii="Times New Roman" w:hAnsi="Times New Roman" w:cs="Times New Roman" w:eastAsia="Times New Roman"/>
          <w:sz w:val="24"/>
        </w:rPr>
      </w:pPr>
      <w:r>
        <w:rPr>
          <w:rFonts w:ascii="Times New Roman" w:hAnsi="Times New Roman" w:cs="Times New Roman" w:eastAsia="Times New Roman"/>
          <w:sz w:val="24"/>
        </w:rPr>
        <w:t/>
      </w:r>
    </w:p>
    <w:p>
      <w:pPr>
        <w:jc w:val="center"/>
        <w:widowControl/>
        <w:rPr>
          <w:rFonts w:ascii="Times New Roman" w:hAnsi="Times New Roman" w:cs="Times New Roman" w:eastAsia="Times New Roman"/>
          <w:b/>
          <w:sz w:val="24"/>
          <w:color w:val="000000"/>
        </w:rPr>
      </w:pPr>
      <w:r>
        <w:rPr>
          <w:rFonts w:ascii="Times New Roman" w:hAnsi="Times New Roman" w:cs="Times New Roman" w:eastAsia="Times New Roman"/>
          <w:b/>
          <w:sz w:val="24"/>
          <w:color w:val="000000"/>
        </w:rPr>
        <w:t>Ricardo Sandri Gazzoni</w:t>
      </w:r>
    </w:p>
    <w:p>
      <w:pPr>
        <w:jc w:val="center"/>
        <w:widowControl/>
        <w:rPr>
          <w:rFonts w:ascii="Times New Roman" w:hAnsi="Times New Roman" w:cs="Times New Roman" w:eastAsia="Times New Roman"/>
          <w:b/>
          <w:sz w:val="24"/>
          <w:color w:val="000000"/>
        </w:rPr>
      </w:pPr>
      <w:r>
        <w:rPr>
          <w:rFonts w:ascii="Times New Roman" w:hAnsi="Times New Roman" w:cs="Times New Roman" w:eastAsia="Times New Roman"/>
          <w:b/>
          <w:sz w:val="24"/>
          <w:color w:val="000000"/>
        </w:rPr>
        <w:t>Assessor Jurídico</w:t>
      </w:r>
    </w:p>
    <w:p>
      <w:pPr>
        <w:jc w:val="center"/>
        <w:widowControl/>
        <w:rPr>
          <w:rFonts w:ascii="Times New Roman" w:hAnsi="Times New Roman" w:cs="Times New Roman" w:eastAsia="Times New Roman"/>
          <w:b/>
          <w:sz w:val="24"/>
          <w:color w:val="000000"/>
        </w:rPr>
      </w:pPr>
      <w:r>
        <w:rPr>
          <w:rFonts w:ascii="Times New Roman" w:hAnsi="Times New Roman" w:cs="Times New Roman" w:eastAsia="Times New Roman"/>
          <w:b/>
          <w:sz w:val="24"/>
          <w:color w:val="000000"/>
        </w:rPr>
        <w:t>OAB/RS 95.670</w:t>
      </w:r>
    </w:p>
    <w:sectPr>
      <w:headerReference w:type="default" r:id="rIdHF0"/>
      <w:pgSz w:w="11906" w:h="16838"/>
      <w:pgMar w:top="1417" w:right="850" w:bottom="1417" w:left="1984" w:header="567" w:footer="567" w:gutter="0"/>
    </w:sectPr>
  </w:body>
</w:document>
</file>

<file path=word/fontTable.xml><?xml version="1.0" encoding="utf-8"?>
<w:fonts xmlns:r="http://schemas.openxmlformats.org/officeDocument/2006/relationships" xmlns:w="http://schemas.openxmlformats.org/wordprocessingml/2006/main">
  <w:font w:name="Arial">
    <w:charset w:val="01"/>
  </w:font>
  <w:font w:name="Tahoma">
    <w:charset w:val="01"/>
  </w:font>
  <w:font w:name="Times New Roman">
    <w:charset w:val="01"/>
  </w:font>
  <w:font w:name="Courier New">
    <w:charset w:val="01"/>
  </w:font>
  <w:font w:name="Times New Roman">
    <w:charset w:val="00"/>
  </w:font>
</w:fonts>
</file>

<file path=word/header.xml><?xml version="1.0" encoding="utf-8"?>
<w:hdr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p14="http://schemas.microsoft.com/office/word/2010/wordprocessingDrawing" xmlns:w14="http://schemas.microsoft.com/office/word/2010/wordml" xmlns:wne="http://schemas.microsoft.com/office/word/2006/wordml" xmlns:wps="http://schemas.microsoft.com/office/word/2010/wordprocessingShape" xmlns:mc="http://schemas.openxmlformats.org/markup-compatibility/2006" mc:Ignorable="wp14">
  <w:p>
    <w:pPr>
      <w:pBdr>
        <w:top w:val="" w:sz="6"/>
        <w:left w:val="" w:sz="6"/>
        <w:bottom w:val="" w:sz="6"/>
        <w:right w:val="" w:sz="6"/>
        <w:between w:val="" w:sz="6"/>
      </w:pBdr>
    </w:pPr>
    <w:r>
      <w:drawing>
        <wp:inline distT="0" distB="0" distL="0" distR="0">
          <wp:extent cx="5419725" cy="895350"/>
          <wp:effectExtent l="0" t="0" r="0" b="0"/>
          <wp:docPr id="1" name="P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1.jpg"/>
                  <pic:cNvPicPr/>
                </pic:nvPicPr>
                <pic:blipFill>
                  <a:blip r:embed="prId1" cstate="print"/>
                  <a:stretch>
                    <a:fillRect/>
                  </a:stretch>
                </pic:blipFill>
                <pic:spPr>
                  <a:xfrm>
                    <a:off x="0" y="0"/>
                    <a:ext cx="5419725" cy="895350"/>
                  </a:xfrm>
                  <a:prstGeom prst="rect">
                    <a:avLst/>
                  </a:prstGeom>
                </pic:spPr>
              </pic:pic>
            </a:graphicData>
          </a:graphic>
        </wp:inline>
      </w:drawing>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w:zoom w:percent="70"/>
  <w:displayBackgroundShape/>
  <w:compat>
    <w:compatSetting w:name="compatibilityMode" w:uri="http://schemas.microsoft.com/office/word" w:val="15"/>
  </w:compat>
</w:settings>
</file>

<file path=word/styles.xml><?xml version="1.0" encoding="utf-8"?>
<w:styles xmlns:r="http://schemas.openxmlformats.org/officeDocument/2006/relationships" xmlns:w="http://schemas.openxmlformats.org/wordprocessingml/2006/main">
  <w:docDefaults>
    <w:pPrDefault>
      <w:pPr>
        <w:spacing w:after="0" w:before="0" w:line="240" w:lineRule="auto"/>
        <w:widowControl w:val="0"/>
      </w:pPr>
    </w:pPrDefault>
    <w:rPrDefault>
      <w:rPr>
        <w:rFonts w:ascii="Arial" w:hAnsi="Arial" w:cs="Arial" w:eastAsia="Arial"/>
        <w:sz w:val="20"/>
      </w:rPr>
    </w:rPrDefault>
  </w:docDefaults>
  <w:style w:type="paragraph" w:default="1" w:styleId="0">
    <w:name w:val="Normal"/>
    <w:qFormat/>
  </w:style>
</w:styles>
</file>

<file path=word/_rels/document.xml.rels><?xml version="1.0" encoding="UTF-8" standalone="yes"?>
<Relationships xmlns="http://schemas.openxmlformats.org/package/2006/relationships"><Relationship Id="rIdFT" Type="http://schemas.openxmlformats.org/officeDocument/2006/relationships/fontTable" Target="fontTable.xml"/><Relationship Id="rIdSt" Type="http://schemas.openxmlformats.org/officeDocument/2006/relationships/styles" Target="styles.xml"/><Relationship Id="rIdHF0" Type="http://schemas.openxmlformats.org/officeDocument/2006/relationships/header" Target="header.xml"/><Relationship Id="rIdHF1" Type="http://schemas.openxmlformats.org/officeDocument/2006/relationships/footer" Target="footer.xml"/><Relationship Id="rIdHF2" Type="http://schemas.openxmlformats.org/officeDocument/2006/relationships/header" Target="headerFirstPage.xml"/><Relationship Id="rIdHF3" Type="http://schemas.openxmlformats.org/officeDocument/2006/relationships/footer" Target="footerFirstPage.xml"/><Relationship Id="rIdHF4" Type="http://schemas.openxmlformats.org/officeDocument/2006/relationships/header" Target="headerEvenPages.xml"/><Relationship Id="rIdHF5" Type="http://schemas.openxmlformats.org/officeDocument/2006/relationships/footer" Target="footerEvenPages.xml"/><Relationship Id="rIdSet" Type="http://schemas.openxmlformats.org/officeDocument/2006/relationships/settings" Target="settings.xml"/></Relationships>
</file>

<file path=word/_rels/header.xml.rels><?xml version="1.0" encoding="UTF-8" standalone="yes"?>
<Relationships xmlns="http://schemas.openxmlformats.org/package/2006/relationships"><Relationship Id="prId1" Type="http://schemas.openxmlformats.org/officeDocument/2006/relationships/image" Target="media/img1.jpg"/></Relationships>
</file>