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headerFirstPage.xml" ContentType="application/vnd.openxmlformats-officedocument.wordprocessingml.header+xml"/>
  <Override PartName="/word/footerFirstPage.xml" ContentType="application/vnd.openxmlformats-officedocument.wordprocessingml.footer+xml"/>
  <Override PartName="/word/headerEvenPages.xml" ContentType="application/vnd.openxmlformats-officedocument.wordprocessingml.header+xml"/>
  <Override PartName="/word/footerEvenPages.xml" ContentType="application/vnd.openxmlformats-officedocument.wordprocessingml.footer+xml"/>
  <Override PartName="/word/settings.xml" ContentType="application/vnd.openxmlformats-officedocument.wordprocessingml.setting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14="http://schemas.microsoft.com/office/word/2010/wordprocessingDrawing" xmlns:w14="http://schemas.microsoft.com/office/word/2010/wordml" xmlns:wne="http://schemas.microsoft.com/office/word/2006/wordml" xmlns:wps="http://schemas.microsoft.com/office/word/2010/wordprocessingShape" xmlns:mc="http://schemas.openxmlformats.org/markup-compatibility/2006" mc:Ignorable="wp14">
  <w:background w:color="FFFFFF"/>
  <w:body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  <w:sz w:val="24"/>
        </w:rPr>
      </w:pPr>
      <w:r>
        <w:rPr>
          <w:rFonts w:ascii="Courier New" w:hAnsi="Courier New" w:cs="Courier New" w:eastAsia="Courier New"/>
          <w:sz w:val="24"/>
        </w:rPr>
        <w:t/>
      </w:r>
    </w:p>
    <w:p>
      <w:pPr>
        <w:jc w:val="center"/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  <w:b/>
        </w:rPr>
      </w:pPr>
      <w:r>
        <w:rPr>
          <w:rFonts w:ascii="Courier New" w:hAnsi="Courier New" w:cs="Courier New" w:eastAsia="Courier New"/>
          <w:b/>
        </w:rPr>
        <w:t>M U R A L   P Ú B L I C O   M U N I C I P A L</w:t>
      </w:r>
    </w:p>
    <w:p>
      <w:pPr>
        <w:jc w:val="center"/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  <w:b/>
        </w:rPr>
      </w:pPr>
      <w:r>
        <w:rPr>
          <w:rFonts w:ascii="Courier New" w:hAnsi="Courier New" w:cs="Courier New" w:eastAsia="Courier New"/>
          <w:b/>
        </w:rPr>
        <w:t/>
      </w:r>
    </w:p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/>
      </w:r>
    </w:p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 xml:space="preserve">Modalidade ....................: PREGÃO ELETRÔNICO (PORTAL DE COMPRAS) nº 52/2026 </w:t>
      </w:r>
    </w:p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>Processo nº …..................: 000434/26</w:t>
      </w:r>
    </w:p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  <w:color w:val="231F20"/>
        </w:rPr>
      </w:pPr>
      <w:r>
        <w:rPr>
          <w:rFonts w:ascii="Courier New" w:hAnsi="Courier New" w:cs="Courier New" w:eastAsia="Courier New"/>
        </w:rPr>
        <w:t xml:space="preserve">Data de Abertura do Edital ....: </w:t>
      </w:r>
      <w:r>
        <w:rPr>
          <w:rFonts w:ascii="Courier New" w:hAnsi="Courier New" w:cs="Courier New" w:eastAsia="Courier New"/>
          <w:color w:val="231F20"/>
        </w:rPr>
        <w:t>22/09/2026</w:t>
      </w:r>
    </w:p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/>
      </w:r>
    </w:p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/>
      </w:r>
    </w:p>
    <w:p>
      <w:pPr>
        <w:jc w:val="center"/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 xml:space="preserve"> ___________________________</w:t>
      </w:r>
    </w:p>
    <w:p>
      <w:pPr>
        <w:jc w:val="center"/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 xml:space="preserve"> Secretaria de Administração</w:t>
      </w:r>
    </w:p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/>
      </w:r>
    </w:p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/>
      </w:r>
    </w:p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>------------------------------------------------------------------------</w:t>
      </w:r>
    </w:p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>Entrega no Protocolo ...................:</w:t>
      </w:r>
      <w:r>
        <w:rPr>
          <w:rFonts w:ascii="Courier New" w:hAnsi="Courier New" w:cs="Courier New" w:eastAsia="Courier New"/>
        </w:rPr>
        <w:tab/>
      </w:r>
      <w:r>
        <w:rPr>
          <w:rFonts w:ascii="Courier New" w:hAnsi="Courier New" w:cs="Courier New" w:eastAsia="Courier New"/>
        </w:rPr>
        <w:t>06/10/2026</w:t>
      </w:r>
    </w:p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>Data de Abertura das Propostas .........: 06/10/2026</w:t>
      </w:r>
    </w:p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>Hora ...................................: 13:15</w:t>
      </w:r>
    </w:p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/>
      </w:r>
    </w:p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 xml:space="preserve"> Objetivo:</w:t>
      </w:r>
    </w:p>
    <w:p>
      <w:pPr>
        <w:jc w:val="both"/>
      </w:pPr>
      <w:r>
        <w:rPr>
          <w:rFonts w:ascii="Courier New" w:hAnsi="Courier New" w:cs="Courier New" w:eastAsia="Courier New"/>
          <w:b/>
          <w:i/>
        </w:rPr>
        <w:tab/>
      </w:r>
    </w:p>
    <w:p>
      <w:pPr>
        <w:jc w:val="both"/>
        <w:rPr>
          <w:rFonts w:ascii="Courier New" w:hAnsi="Courier New" w:cs="Courier New" w:eastAsia="Courier New"/>
          <w:b/>
          <w:i/>
        </w:rPr>
      </w:pPr>
      <w:r>
        <w:rPr>
          <w:rFonts w:ascii="Courier New" w:hAnsi="Courier New" w:cs="Courier New" w:eastAsia="Courier New"/>
          <w:b/>
          <w:i/>
        </w:rPr>
        <w:t>Aquisição de Uniformes para a turma de Ballet</w:t>
      </w:r>
    </w:p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/>
      </w:r>
    </w:p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/>
      </w:r>
    </w:p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 xml:space="preserve"> Esta licitação será avaliada: Menor Preco Global</w:t>
      </w:r>
    </w:p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/>
      </w:r>
    </w:p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/>
      </w:r>
    </w:p>
    <w:p>
      <w:pPr>
        <w:jc w:val="center"/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/>
      </w:r>
    </w:p>
    <w:tbl>
      <w:tblPr>
        <w:tblW w:w="963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15"/>
        <w:gridCol w:w="4815"/>
      </w:tblGrid>
      <w:tr>
        <w:tc>
          <w:tcPr>
            <w:tcW w:w="4815" w:type="dxa"/>
          </w:tcPr>
          <w:p>
            <w:pPr>
              <w:jc w:val="center"/>
              <w:ind w:left="19" w:right="19"/>
              <w:spacing w:before="19" w:after="19"/>
              <w:pBdr>
                <w:top w:val="none" w:sz="8" w:color="000000"/>
                <w:left w:val="none" w:sz="8" w:color="000000"/>
                <w:bottom w:val="single" w:sz="8" w:space="2" w:color="000000"/>
                <w:right w:val="none" w:sz="8" w:color="000000"/>
                <w:between w:val="single" w:sz="8" w:color="000000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/>
            </w:r>
          </w:p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Departamento de Compras</w:t>
            </w:r>
          </w:p>
        </w:tc>
        <w:tc>
          <w:tcPr>
            <w:tcW w:w="4815" w:type="dxa"/>
          </w:tcPr>
          <w:p>
            <w:pPr>
              <w:jc w:val="center"/>
              <w:ind w:left="19" w:right="19"/>
              <w:spacing w:before="19" w:after="19"/>
              <w:pBdr>
                <w:top w:val="none" w:sz="8" w:color="000000"/>
                <w:left w:val="none" w:sz="8" w:color="000000"/>
                <w:bottom w:val="single" w:sz="8" w:space="2" w:color="000000"/>
                <w:right w:val="none" w:sz="8" w:color="000000"/>
                <w:between w:val="single" w:sz="8" w:color="000000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/>
            </w:r>
          </w:p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  <w:color w:val="231F20"/>
              </w:rPr>
              <w:t>JOÃO PAULO BALBINOT</w:t>
            </w:r>
            <w:r>
              <w:rPr>
                <w:rFonts w:ascii="Courier New" w:hAnsi="Courier New" w:cs="Courier New" w:eastAsia="Courier New"/>
              </w:rPr>
              <w:t xml:space="preserve"> </w:t>
            </w:r>
          </w:p>
          <w:p>
            <w:pPr>
              <w:jc w:val="center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Prefeito Municipal</w:t>
            </w:r>
          </w:p>
        </w:tc>
      </w:tr>
    </w:tbl>
    <w:p>
      <w:pPr>
        <w:jc w:val="center"/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/>
      </w:r>
    </w:p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/>
      </w:r>
    </w:p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/>
      </w:r>
    </w:p>
    <w:tbl>
      <w:tblPr>
        <w:tblW w:w="5000" w:type="pct"/>
        <w:tblLayout w:type="fixed"/>
        <w:tblCellMar>
          <w:top w:w="0" w:type="dxa"/>
          <w:left w:w="1" w:type="dxa"/>
          <w:bottom w:w="0" w:type="dxa"/>
          <w:right w:w="1" w:type="dxa"/>
        </w:tblCellMar>
        <w:shd w:val="clear" w:color="auto" w:fill="FFFFFF"/>
      </w:tblPr>
      <w:tblGrid>
        <w:gridCol w:w="663"/>
        <w:gridCol w:w="5178"/>
        <w:gridCol w:w="858"/>
        <w:gridCol w:w="873"/>
        <w:gridCol w:w="873"/>
      </w:tblGrid>
      <w:tr>
        <w:tc>
          <w:tcPr>
            <w:tcW w:w="690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Item</w:t>
            </w:r>
          </w:p>
        </w:tc>
        <w:tc>
          <w:tcPr>
            <w:tcW w:w="5205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Descrição do Produto</w:t>
            </w:r>
          </w:p>
        </w:tc>
        <w:tc>
          <w:tcPr>
            <w:tcW w:w="885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Qte</w:t>
            </w:r>
          </w:p>
        </w:tc>
        <w:tc>
          <w:tcPr>
            <w:tcW w:w="900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Unid.</w:t>
            </w:r>
          </w:p>
        </w:tc>
        <w:tc>
          <w:tcPr>
            <w:tcW w:w="900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Marca</w:t>
            </w:r>
          </w:p>
        </w:tc>
      </w:tr>
      <w:tr>
        <w:tc>
          <w:tcPr>
            <w:tcW w:w="69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1</w:t>
            </w:r>
          </w:p>
        </w:tc>
        <w:tc>
          <w:tcPr>
            <w:tcW w:w="52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COLLANT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Collant para ballet confeccionado em tecido de microfibra (poliamida com elastano) ou suplex de composição, com alta elasticidade, toque macio, respirabilidade, resistência ao uso contínuo e excelente recuperação elástica, proporcionando conforto e liberdade de movimentos durante aulas, ensaios e apresentações. Acabamento com costuras reforçadas e modelagem.</w:t>
            </w:r>
          </w:p>
        </w:tc>
        <w:tc>
          <w:tcPr>
            <w:tcW w:w="88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105</w:t>
            </w:r>
          </w:p>
        </w:tc>
        <w:tc>
          <w:tcPr>
            <w:tcW w:w="90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UN</w:t>
            </w:r>
          </w:p>
        </w:tc>
        <w:tc>
          <w:tcPr>
            <w:tcW w:w="90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/>
            </w:r>
          </w:p>
        </w:tc>
      </w:tr>
      <w:tr>
        <w:tc>
          <w:tcPr>
            <w:tcW w:w="69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2</w:t>
            </w:r>
          </w:p>
        </w:tc>
        <w:tc>
          <w:tcPr>
            <w:tcW w:w="52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SAIA DE TECIDO OXFORDINE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tecido oxfordine 100% poliêster, gramatura 130gra</w:t>
            </w:r>
          </w:p>
        </w:tc>
        <w:tc>
          <w:tcPr>
            <w:tcW w:w="88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75</w:t>
            </w:r>
          </w:p>
        </w:tc>
        <w:tc>
          <w:tcPr>
            <w:tcW w:w="90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UN</w:t>
            </w:r>
          </w:p>
        </w:tc>
        <w:tc>
          <w:tcPr>
            <w:tcW w:w="90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/>
            </w:r>
          </w:p>
        </w:tc>
      </w:tr>
      <w:tr>
        <w:tc>
          <w:tcPr>
            <w:tcW w:w="69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3</w:t>
            </w:r>
          </w:p>
        </w:tc>
        <w:tc>
          <w:tcPr>
            <w:tcW w:w="52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SAIA DE TULE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Saia para ballet confeccionada em tecido de tule,resistentes e com excelente caimento, proporcionando fluidez aos movimentos durante aulas, ensaios e apresentações. O tule deverá apresentar transparência uniforme e boa resistência, deverá possuir toque macio, leveza e caimento delicado. Modelo com cós em elástico ou tecido de composição equivalente, garantindo conforto, ajuste adequado ao corpo e liberdade de movimentos. Acabamento com costuras reforçadas e barras devidamente finalizadas.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/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Os itens deverão ser fornecidos conforme os tamanhos, modelos, cores e quantidades definidos pela contratante.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/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/>
            </w:r>
          </w:p>
        </w:tc>
        <w:tc>
          <w:tcPr>
            <w:tcW w:w="88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30</w:t>
            </w:r>
          </w:p>
        </w:tc>
        <w:tc>
          <w:tcPr>
            <w:tcW w:w="90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UN</w:t>
            </w:r>
          </w:p>
        </w:tc>
        <w:tc>
          <w:tcPr>
            <w:tcW w:w="90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/>
            </w:r>
          </w:p>
        </w:tc>
      </w:tr>
      <w:tr>
        <w:tc>
          <w:tcPr>
            <w:tcW w:w="69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4</w:t>
            </w:r>
          </w:p>
        </w:tc>
        <w:tc>
          <w:tcPr>
            <w:tcW w:w="52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SAPATILHA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Sapatilha de ballet confeccionada em lona/tecido algodão ou couro sintético de alta resistência, com solado em camurça natural ou material sintético equivalente, elástico para melhor ajuste aos pés e acabamento reforçado, proporcionando conforto, flexibilidade, aderência e segurança durante a prática da dança.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Os itens deverão ser fornecidos conforme os tamanhos, modelos, cores e quantidades definidos pela contratante.</w:t>
            </w:r>
          </w:p>
        </w:tc>
        <w:tc>
          <w:tcPr>
            <w:tcW w:w="88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105</w:t>
            </w:r>
          </w:p>
        </w:tc>
        <w:tc>
          <w:tcPr>
            <w:tcW w:w="90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>PA</w:t>
            </w:r>
          </w:p>
        </w:tc>
        <w:tc>
          <w:tcPr>
            <w:tcW w:w="90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</w:rPr>
            </w:pPr>
            <w:r>
              <w:rPr>
                <w:rFonts w:ascii="Courier New" w:hAnsi="Courier New" w:cs="Courier New" w:eastAsia="Courier New"/>
              </w:rPr>
              <w:t/>
            </w:r>
          </w:p>
        </w:tc>
      </w:tr>
    </w:tbl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>------------------------------------------------------------------------</w:t>
      </w:r>
    </w:p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/>
      </w:r>
    </w:p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 xml:space="preserve">  Validade da Proposta ..: 60 dias</w:t>
      </w:r>
    </w:p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 xml:space="preserve">  Condições de Pagamento.: em até 30 dias após a entrega dos produtos</w:t>
      </w:r>
    </w:p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Courier New" w:hAnsi="Courier New" w:cs="Courier New" w:eastAsia="Courier New"/>
        </w:rPr>
      </w:pPr>
      <w:r>
        <w:rPr>
          <w:rFonts w:ascii="Courier New" w:hAnsi="Courier New" w:cs="Courier New" w:eastAsia="Courier New"/>
        </w:rPr>
        <w:t xml:space="preserve">  Prazo de Entrega ......: em até 30 dias após a emissão do empenho  </w:t>
      </w:r>
    </w:p>
    <w:p>
      <w:r>
        <w:br w:type="page"/>
      </w:r>
    </w:p>
    <w:p>
      <w:pPr>
        <w:jc w:val="center"/>
        <w:spacing w:lineRule="auto" w:line="360"/>
        <w:rPr>
          <w:rFonts w:ascii="Times New Roman" w:hAnsi="Times New Roman" w:cs="Times New Roman" w:eastAsia="Times New Roman"/>
          <w:b/>
          <w:i/>
          <w:u w:val="single" w:color="auto"/>
          <w:color w:val="231F20"/>
        </w:rPr>
      </w:pPr>
      <w:r>
        <w:rPr>
          <w:rFonts w:ascii="Times New Roman" w:hAnsi="Times New Roman" w:cs="Times New Roman" w:eastAsia="Times New Roman"/>
          <w:b/>
          <w:i/>
          <w:u w:val="single" w:color="auto"/>
          <w:color w:val="231F20"/>
        </w:rPr>
        <w:t/>
      </w:r>
    </w:p>
    <w:p>
      <w:pPr>
        <w:jc w:val="center"/>
        <w:spacing w:lineRule="auto" w:line="360"/>
        <w:rPr>
          <w:rFonts w:ascii="Times New Roman" w:hAnsi="Times New Roman" w:cs="Times New Roman" w:eastAsia="Times New Roman"/>
          <w:b/>
          <w:i/>
          <w:u w:val="single" w:color="auto"/>
          <w:sz w:val="24"/>
          <w:color w:val="231F20"/>
        </w:rPr>
      </w:pPr>
      <w:r>
        <w:rPr>
          <w:rFonts w:ascii="Times New Roman" w:hAnsi="Times New Roman" w:cs="Times New Roman" w:eastAsia="Times New Roman"/>
          <w:b/>
          <w:i/>
          <w:u w:val="single" w:color="auto"/>
          <w:sz w:val="24"/>
          <w:color w:val="231F20"/>
        </w:rPr>
        <w:t>AVISO DE ABERTURA DE EDITAL DE LICITAÇÃO</w:t>
      </w:r>
    </w:p>
    <w:p>
      <w:pPr>
        <w:jc w:val="both"/>
        <w:spacing w:lineRule="auto" w:line="360"/>
      </w:pPr>
      <w:r>
        <w:rPr>
          <w:rFonts w:ascii="Times New Roman" w:hAnsi="Times New Roman" w:cs="Times New Roman" w:eastAsia="Times New Roman"/>
          <w:sz w:val="24"/>
          <w:color w:val="231F20"/>
        </w:rPr>
        <w:tab/>
      </w:r>
      <w:r>
        <w:rPr>
          <w:rFonts w:ascii="Times New Roman" w:hAnsi="Times New Roman" w:cs="Times New Roman" w:eastAsia="Times New Roman"/>
          <w:sz w:val="24"/>
          <w:color w:val="231F20"/>
        </w:rPr>
        <w:tab/>
      </w:r>
    </w:p>
    <w:p>
      <w:pPr>
        <w:jc w:val="both"/>
        <w:spacing w:lineRule="auto" w:line="360"/>
        <w:rPr>
          <w:rFonts w:ascii="Times New Roman" w:hAnsi="Times New Roman" w:cs="Times New Roman" w:eastAsia="Times New Roman"/>
          <w:sz w:val="24"/>
          <w:color w:val="231F20"/>
        </w:rPr>
      </w:pPr>
      <w:r>
        <w:rPr>
          <w:rFonts w:ascii="Times New Roman" w:hAnsi="Times New Roman" w:cs="Times New Roman" w:eastAsia="Times New Roman"/>
          <w:sz w:val="24"/>
          <w:color w:val="231F20"/>
        </w:rPr>
        <w:t/>
      </w:r>
    </w:p>
    <w:p>
      <w:pPr>
        <w:jc w:val="both"/>
        <w:spacing w:lineRule="auto" w:line="360"/>
        <w:rPr>
          <w:rFonts w:ascii="Times New Roman" w:hAnsi="Times New Roman" w:cs="Times New Roman" w:eastAsia="Times New Roman"/>
          <w:sz w:val="24"/>
          <w:color w:val="231F20"/>
        </w:rPr>
      </w:pPr>
      <w:r>
        <w:rPr>
          <w:rFonts w:ascii="Times New Roman" w:hAnsi="Times New Roman" w:cs="Times New Roman" w:eastAsia="Times New Roman"/>
          <w:b/>
          <w:sz w:val="24"/>
          <w:color w:val="231F20"/>
        </w:rPr>
        <w:tab/>
      </w:r>
      <w:r>
        <w:rPr>
          <w:rFonts w:ascii="Times New Roman" w:hAnsi="Times New Roman" w:cs="Times New Roman" w:eastAsia="Times New Roman"/>
          <w:sz w:val="24"/>
          <w:color w:val="231F20"/>
        </w:rPr>
        <w:t xml:space="preserve">JOÃO PAULO BALBINOT, Prefeito de Quatro Irmãos/RS, no uso de suas atribuições legais, TORNA PÚBLICO, que fica aberto o seguinte Edital:  </w:t>
      </w:r>
      <w:r>
        <w:rPr>
          <w:rFonts w:ascii="Times New Roman" w:hAnsi="Times New Roman" w:cs="Times New Roman" w:eastAsia="Times New Roman"/>
          <w:b/>
          <w:sz w:val="24"/>
          <w:color w:val="231F20"/>
        </w:rPr>
        <w:t>PREGÃO ELETRÔNICO (PORTAL DE COMPRAS) nº 52/2026</w:t>
      </w:r>
      <w:r>
        <w:rPr>
          <w:rFonts w:ascii="Times New Roman" w:hAnsi="Times New Roman" w:cs="Times New Roman" w:eastAsia="Times New Roman"/>
          <w:sz w:val="24"/>
          <w:color w:val="231F20"/>
        </w:rPr>
        <w:t>,  com Objetivo de Aquisição de Uniformes para a turma de Ballet, com Data de Abertura marcada para o dia</w:t>
      </w:r>
      <w:r>
        <w:rPr>
          <w:rFonts w:ascii="Times New Roman" w:hAnsi="Times New Roman" w:cs="Times New Roman" w:eastAsia="Times New Roman"/>
          <w:i/>
          <w:sz w:val="24"/>
          <w:color w:val="231F20"/>
        </w:rPr>
        <w:t xml:space="preserve"> </w:t>
      </w:r>
      <w:r>
        <w:rPr>
          <w:rFonts w:ascii="Times New Roman" w:hAnsi="Times New Roman" w:cs="Times New Roman" w:eastAsia="Times New Roman"/>
          <w:b/>
          <w:sz w:val="24"/>
          <w:color w:val="231F20"/>
        </w:rPr>
        <w:t>06/10/2026</w:t>
      </w:r>
      <w:r>
        <w:rPr>
          <w:rFonts w:ascii="Times New Roman" w:hAnsi="Times New Roman" w:cs="Times New Roman" w:eastAsia="Times New Roman"/>
          <w:sz w:val="24"/>
          <w:color w:val="231F20"/>
        </w:rPr>
        <w:t xml:space="preserve">, às </w:t>
      </w:r>
      <w:r>
        <w:rPr>
          <w:rFonts w:ascii="Times New Roman" w:hAnsi="Times New Roman" w:cs="Times New Roman" w:eastAsia="Times New Roman"/>
          <w:b/>
          <w:sz w:val="24"/>
          <w:color w:val="231F20"/>
        </w:rPr>
        <w:t>13:15</w:t>
      </w:r>
      <w:r>
        <w:rPr>
          <w:rFonts w:ascii="Times New Roman" w:hAnsi="Times New Roman" w:cs="Times New Roman" w:eastAsia="Times New Roman"/>
          <w:sz w:val="24"/>
          <w:color w:val="231F20"/>
        </w:rPr>
        <w:t xml:space="preserve">. O edital encontra-se à disposição no endereço eletrônico </w:t>
      </w:r>
      <w:hyperlink r:id="hrId1">
        <w:r>
          <w:rPr>
            <w:rFonts w:ascii="Times New Roman" w:hAnsi="Times New Roman" w:cs="Times New Roman" w:eastAsia="Times New Roman"/>
            <w:u w:val="single" w:color="auto"/>
            <w:sz w:val="24"/>
            <w:color w:val="0000FF"/>
          </w:rPr>
          <w:t>www.quatroirmaos.rs.gov.br</w:t>
        </w:r>
      </w:hyperlink>
      <w:r>
        <w:rPr>
          <w:rFonts w:ascii="Times New Roman" w:hAnsi="Times New Roman" w:cs="Times New Roman" w:eastAsia="Times New Roman"/>
          <w:sz w:val="24"/>
          <w:color w:val="231F20"/>
        </w:rPr>
        <w:t>, informações serão prestadas no Departamento de Licitações pelo fone (54) 99278-5494, (54) 99278-5472, (54) 99278-5543.</w:t>
      </w:r>
    </w:p>
    <w:p>
      <w:pPr>
        <w:jc w:val="both"/>
        <w:rPr>
          <w:rFonts w:ascii="Times New Roman" w:hAnsi="Times New Roman" w:cs="Times New Roman" w:eastAsia="Times New Roman"/>
          <w:sz w:val="24"/>
          <w:color w:val="231F20"/>
        </w:rPr>
      </w:pPr>
      <w:r>
        <w:rPr>
          <w:rFonts w:ascii="Times New Roman" w:hAnsi="Times New Roman" w:cs="Times New Roman" w:eastAsia="Times New Roman"/>
          <w:sz w:val="24"/>
          <w:color w:val="231F20"/>
        </w:rPr>
        <w:t/>
      </w:r>
    </w:p>
    <w:p>
      <w:pPr>
        <w:jc w:val="center"/>
        <w:pBdr>
          <w:top w:val="" w:sz="6"/>
          <w:left w:val="" w:sz="6"/>
          <w:bottom w:val="" w:sz="6"/>
          <w:right w:val="" w:sz="6"/>
          <w:between w:val="" w:sz="6"/>
        </w:pBdr>
        <w:rPr>
          <w:rFonts w:ascii="Times New Roman" w:hAnsi="Times New Roman" w:cs="Times New Roman" w:eastAsia="Times New Roman"/>
          <w:sz w:val="24"/>
          <w:color w:val="231F20"/>
        </w:rPr>
      </w:pPr>
      <w:r>
        <w:rPr>
          <w:rFonts w:ascii="Times New Roman" w:hAnsi="Times New Roman" w:cs="Times New Roman" w:eastAsia="Times New Roman"/>
          <w:sz w:val="24"/>
          <w:color w:val="231F20"/>
        </w:rPr>
        <w:t/>
      </w:r>
    </w:p>
    <w:p>
      <w:pPr>
        <w:jc w:val="center"/>
        <w:pBdr>
          <w:top w:val="" w:sz="6"/>
          <w:left w:val="" w:sz="6"/>
          <w:bottom w:val="" w:sz="6"/>
          <w:right w:val="" w:sz="6"/>
          <w:between w:val="" w:sz="6"/>
        </w:pBdr>
        <w:rPr>
          <w:rFonts w:ascii="Times New Roman" w:hAnsi="Times New Roman" w:cs="Times New Roman" w:eastAsia="Times New Roman"/>
          <w:sz w:val="24"/>
          <w:color w:val="231F20"/>
        </w:rPr>
      </w:pPr>
      <w:r>
        <w:rPr>
          <w:rFonts w:ascii="Times New Roman" w:hAnsi="Times New Roman" w:cs="Times New Roman" w:eastAsia="Times New Roman"/>
          <w:sz w:val="24"/>
          <w:color w:val="231F20"/>
        </w:rPr>
        <w:t/>
      </w:r>
    </w:p>
    <w:p>
      <w:pPr>
        <w:jc w:val="center"/>
        <w:pBdr>
          <w:top w:val="" w:sz="6"/>
          <w:left w:val="" w:sz="6"/>
          <w:bottom w:val="" w:sz="6"/>
          <w:right w:val="" w:sz="6"/>
          <w:between w:val="" w:sz="6"/>
        </w:pBdr>
        <w:rPr>
          <w:rFonts w:ascii="Times New Roman" w:hAnsi="Times New Roman" w:cs="Times New Roman" w:eastAsia="Times New Roman"/>
          <w:sz w:val="24"/>
          <w:color w:val="231F20"/>
        </w:rPr>
      </w:pPr>
      <w:r>
        <w:rPr>
          <w:rFonts w:ascii="Times New Roman" w:hAnsi="Times New Roman" w:cs="Times New Roman" w:eastAsia="Times New Roman"/>
          <w:sz w:val="24"/>
          <w:color w:val="231F20"/>
        </w:rPr>
        <w:t/>
      </w:r>
    </w:p>
    <w:p>
      <w:pPr>
        <w:jc w:val="center"/>
        <w:pBdr>
          <w:top w:val="" w:sz="6"/>
          <w:left w:val="" w:sz="6"/>
          <w:bottom w:val="" w:sz="6"/>
          <w:right w:val="" w:sz="6"/>
          <w:between w:val="" w:sz="6"/>
        </w:pBdr>
        <w:rPr>
          <w:rFonts w:ascii="Times New Roman" w:hAnsi="Times New Roman" w:cs="Times New Roman" w:eastAsia="Times New Roman"/>
          <w:sz w:val="24"/>
          <w:color w:val="231F20"/>
        </w:rPr>
      </w:pPr>
      <w:r>
        <w:rPr>
          <w:rFonts w:ascii="Times New Roman" w:hAnsi="Times New Roman" w:cs="Times New Roman" w:eastAsia="Times New Roman"/>
          <w:sz w:val="24"/>
          <w:color w:val="231F20"/>
        </w:rPr>
        <w:t>Quatro Irmãos - RS, 22/09/2026</w:t>
      </w:r>
    </w:p>
    <w:p>
      <w:pPr>
        <w:jc w:val="both"/>
        <w:rPr>
          <w:rFonts w:ascii="Times New Roman" w:hAnsi="Times New Roman" w:cs="Times New Roman" w:eastAsia="Times New Roman"/>
          <w:sz w:val="24"/>
          <w:color w:val="231F20"/>
        </w:rPr>
      </w:pPr>
      <w:r>
        <w:rPr>
          <w:rFonts w:ascii="Times New Roman" w:hAnsi="Times New Roman" w:cs="Times New Roman" w:eastAsia="Times New Roman"/>
          <w:sz w:val="24"/>
          <w:color w:val="231F20"/>
        </w:rPr>
        <w:t/>
      </w:r>
    </w:p>
    <w:p>
      <w:pPr>
        <w:jc w:val="both"/>
        <w:rPr>
          <w:rFonts w:ascii="Times New Roman" w:hAnsi="Times New Roman" w:cs="Times New Roman" w:eastAsia="Times New Roman"/>
          <w:sz w:val="24"/>
          <w:color w:val="231F20"/>
        </w:rPr>
      </w:pPr>
      <w:r>
        <w:rPr>
          <w:rFonts w:ascii="Times New Roman" w:hAnsi="Times New Roman" w:cs="Times New Roman" w:eastAsia="Times New Roman"/>
          <w:sz w:val="24"/>
          <w:color w:val="231F20"/>
        </w:rPr>
        <w:t/>
      </w:r>
    </w:p>
    <w:p>
      <w:pPr>
        <w:jc w:val="both"/>
        <w:rPr>
          <w:rFonts w:ascii="Times New Roman" w:hAnsi="Times New Roman" w:cs="Times New Roman" w:eastAsia="Times New Roman"/>
          <w:sz w:val="24"/>
          <w:color w:val="231F20"/>
        </w:rPr>
      </w:pPr>
      <w:r>
        <w:rPr>
          <w:rFonts w:ascii="Times New Roman" w:hAnsi="Times New Roman" w:cs="Times New Roman" w:eastAsia="Times New Roman"/>
          <w:sz w:val="24"/>
          <w:color w:val="231F20"/>
        </w:rPr>
        <w:t/>
      </w:r>
    </w:p>
    <w:p>
      <w:pPr>
        <w:jc w:val="both"/>
        <w:rPr>
          <w:rFonts w:ascii="Times New Roman" w:hAnsi="Times New Roman" w:cs="Times New Roman" w:eastAsia="Times New Roman"/>
          <w:sz w:val="24"/>
          <w:color w:val="231F20"/>
        </w:rPr>
      </w:pPr>
      <w:r>
        <w:rPr>
          <w:rFonts w:ascii="Times New Roman" w:hAnsi="Times New Roman" w:cs="Times New Roman" w:eastAsia="Times New Roman"/>
          <w:sz w:val="24"/>
          <w:color w:val="231F20"/>
        </w:rPr>
        <w:t/>
      </w:r>
    </w:p>
    <w:p>
      <w:pPr>
        <w:jc w:val="center"/>
        <w:pBdr>
          <w:top w:val="" w:sz="6"/>
          <w:left w:val="" w:sz="6"/>
          <w:bottom w:val="" w:sz="6"/>
          <w:right w:val="" w:sz="6"/>
          <w:between w:val="" w:sz="6"/>
        </w:pBdr>
        <w:rPr>
          <w:rFonts w:ascii="Times New Roman" w:hAnsi="Times New Roman" w:cs="Times New Roman" w:eastAsia="Times New Roman"/>
          <w:sz w:val="24"/>
          <w:color w:val="231F20"/>
        </w:rPr>
      </w:pPr>
      <w:r>
        <w:rPr>
          <w:rFonts w:ascii="Times New Roman" w:hAnsi="Times New Roman" w:cs="Times New Roman" w:eastAsia="Times New Roman"/>
          <w:sz w:val="24"/>
          <w:color w:val="231F20"/>
        </w:rPr>
        <w:t>JOÃO PAULO BALBINOT</w:t>
      </w:r>
    </w:p>
    <w:p>
      <w:pPr>
        <w:jc w:val="center"/>
        <w:pBdr>
          <w:top w:val="" w:sz="6"/>
          <w:left w:val="" w:sz="6"/>
          <w:bottom w:val="" w:sz="6"/>
          <w:right w:val="" w:sz="6"/>
          <w:between w:val="" w:sz="6"/>
        </w:pBdr>
        <w:rPr>
          <w:rFonts w:ascii="Times New Roman" w:hAnsi="Times New Roman" w:cs="Times New Roman" w:eastAsia="Times New Roman"/>
          <w:sz w:val="24"/>
          <w:color w:val="231F20"/>
        </w:rPr>
      </w:pPr>
      <w:r>
        <w:rPr>
          <w:rFonts w:ascii="Times New Roman" w:hAnsi="Times New Roman" w:cs="Times New Roman" w:eastAsia="Times New Roman"/>
          <w:sz w:val="24"/>
          <w:color w:val="231F20"/>
        </w:rPr>
        <w:t>Prefeito Municipal</w:t>
      </w:r>
    </w:p>
    <w:sectPr>
      <w:headerReference w:type="default" r:id="rIdHF0"/>
      <w:pgSz w:w="12246" w:h="15817"/>
      <w:pgMar w:top="1837" w:right="1800" w:bottom="1440" w:left="18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charset w:val="01"/>
  </w:font>
  <w:font w:name="Tahoma">
    <w:charset w:val="01"/>
  </w:font>
  <w:font w:name="Courier New">
    <w:charset w:val="00"/>
  </w:font>
  <w:font w:name="Times New Roman">
    <w:charset w:val="00"/>
  </w:font>
</w:fonts>
</file>

<file path=word/header.xml><?xml version="1.0" encoding="utf-8"?>
<w:hdr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14="http://schemas.microsoft.com/office/word/2010/wordprocessingDrawing" xmlns:w14="http://schemas.microsoft.com/office/word/2010/wordml" xmlns:wne="http://schemas.microsoft.com/office/word/2006/wordml" xmlns:wps="http://schemas.microsoft.com/office/word/2010/wordprocessingShape" xmlns:mc="http://schemas.openxmlformats.org/markup-compatibility/2006" mc:Ignorable="wp14">
  <w:p>
    <w:pPr>
      <w:pBdr>
        <w:top w:val="" w:sz="6"/>
        <w:left w:val="" w:sz="6"/>
        <w:bottom w:val="" w:sz="6"/>
        <w:right w:val="" w:sz="6"/>
        <w:between w:val="" w:sz="6"/>
      </w:pBdr>
    </w:pPr>
    <w:r>
      <w:drawing>
        <wp:inline distT="0" distB="0" distL="0" distR="0">
          <wp:extent cx="5419725" cy="895350"/>
          <wp:effectExtent l="0" t="0" r="0" b="0"/>
          <wp:docPr id="1" name="P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1.jpg"/>
                  <pic:cNvPicPr/>
                </pic:nvPicPr>
                <pic:blipFill>
                  <a:blip r:embed="prId1" cstate="print"/>
                  <a:stretch>
                    <a:fillRect/>
                  </a:stretch>
                </pic:blipFill>
                <pic:spPr>
                  <a:xfrm>
                    <a:off x="0" y="0"/>
                    <a:ext cx="5419725" cy="895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>
  <w:zoom w:percent="100"/>
  <w:displayBackgroundShape/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>
        <w:spacing w:after="0" w:before="0" w:line="240" w:lineRule="auto"/>
        <w:widowControl w:val="0"/>
      </w:pPr>
    </w:pPrDefault>
    <w:rPrDefault>
      <w:rPr>
        <w:rFonts w:ascii="Arial" w:hAnsi="Arial" w:cs="Arial" w:eastAsia="Arial"/>
        <w:sz w:val="20"/>
      </w:rPr>
    </w:rPrDefault>
  </w:docDefaults>
  <w:style w:type="paragraph" w:default="1" w:styleId="0">
    <w:name w:val="Normal"/>
    <w:qFormat/>
  </w:style>
</w:styles>
</file>

<file path=word/_rels/document.xml.rels><?xml version="1.0" encoding="UTF-8" standalone="yes"?>
<Relationships xmlns="http://schemas.openxmlformats.org/package/2006/relationships"><Relationship Id="rIdFT" Type="http://schemas.openxmlformats.org/officeDocument/2006/relationships/fontTable" Target="fontTable.xml"/><Relationship Id="rIdSt" Type="http://schemas.openxmlformats.org/officeDocument/2006/relationships/styles" Target="styles.xml"/><Relationship Id="rIdHF0" Type="http://schemas.openxmlformats.org/officeDocument/2006/relationships/header" Target="header.xml"/><Relationship Id="rIdHF1" Type="http://schemas.openxmlformats.org/officeDocument/2006/relationships/footer" Target="footer.xml"/><Relationship Id="rIdHF2" Type="http://schemas.openxmlformats.org/officeDocument/2006/relationships/header" Target="headerFirstPage.xml"/><Relationship Id="rIdHF3" Type="http://schemas.openxmlformats.org/officeDocument/2006/relationships/footer" Target="footerFirstPage.xml"/><Relationship Id="rIdHF4" Type="http://schemas.openxmlformats.org/officeDocument/2006/relationships/header" Target="headerEvenPages.xml"/><Relationship Id="rIdHF5" Type="http://schemas.openxmlformats.org/officeDocument/2006/relationships/footer" Target="footerEvenPages.xml"/><Relationship Id="rIdSet" Type="http://schemas.openxmlformats.org/officeDocument/2006/relationships/settings" Target="settings.xml"/><Relationship Id="hrId1" Type="http://schemas.openxmlformats.org/officeDocument/2006/relationships/hyperlink" Target="http://www.quatroirmaos.rs.gov.br/" TargetMode="External"/></Relationships>
</file>

<file path=word/_rels/header.xml.rels><?xml version="1.0" encoding="UTF-8" standalone="yes"?>
<Relationships xmlns="http://schemas.openxmlformats.org/package/2006/relationships"><Relationship Id="prId1" Type="http://schemas.openxmlformats.org/officeDocument/2006/relationships/image" Target="media/img1.jpg"/></Relationships>
</file>