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headerFirstPage.xml" ContentType="application/vnd.openxmlformats-officedocument.wordprocessingml.header+xml"/>
  <Override PartName="/word/footerFirstPage.xml" ContentType="application/vnd.openxmlformats-officedocument.wordprocessingml.footer+xml"/>
  <Override PartName="/word/headerEvenPages.xml" ContentType="application/vnd.openxmlformats-officedocument.wordprocessingml.header+xml"/>
  <Override PartName="/word/footerEvenPages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background w:color="FFFFFF"/>
  <w:body>
    <w:p>
      <w:pPr>
        <w:jc w:val="center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b/>
          <w:u w:val="single"/>
          <w:sz w:val="28"/>
        </w:rPr>
      </w:pPr>
      <w:r>
        <w:rPr>
          <w:rFonts w:ascii="Times New Roman" w:hAnsi="Times New Roman" w:cs="Times New Roman" w:eastAsia="Times New Roman"/>
          <w:b/>
          <w:u w:val="single"/>
          <w:sz w:val="28"/>
        </w:rPr>
        <w:t>ESTUDO TÉCNICO PRELIMINAR</w:t>
      </w:r>
    </w:p>
    <w:p>
      <w:pPr>
        <w:jc w:val="both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ind w:left="3402"/>
        <w:rPr>
          <w:rFonts w:ascii="Times New Roman" w:hAnsi="Times New Roman" w:cs="Times New Roman" w:eastAsia="Times New Roman"/>
          <w:b/>
          <w:sz w:val="24"/>
          <w:shd w:val="clear" w:color="auto" w:fill="FFFF00"/>
        </w:rPr>
      </w:pPr>
      <w:r>
        <w:rPr>
          <w:rFonts w:ascii="Times New Roman" w:hAnsi="Times New Roman" w:cs="Times New Roman" w:eastAsia="Times New Roman"/>
          <w:sz w:val="24"/>
        </w:rPr>
        <w:t xml:space="preserve">Necessidade da Administração: </w:t>
      </w:r>
      <w:r>
        <w:rPr>
          <w:rFonts w:ascii="Times New Roman" w:hAnsi="Times New Roman" w:cs="Times New Roman" w:eastAsia="Times New Roman"/>
          <w:b/>
          <w:sz w:val="24"/>
          <w:shd w:val="clear" w:color="auto" w:fill="FFFF00"/>
        </w:rPr>
        <w:t>Chamamento Público tem por objeto o credenciamento de pessoas jurídicas especializadas para a prestação de serviços de exames laboratoriais de análises clínicas, visando atender aos pacientes do Sistema Único de Saúde (SUS) e da rede municipal de Quatro Irmãos/RS.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1. DESCRIÇÃO DA NECESSIDADE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O objeto da presente é a contratação de empresa especializada para o </w:t>
      </w:r>
      <w:r>
        <w:rPr>
          <w:rFonts w:ascii="Times New Roman" w:hAnsi="Times New Roman" w:cs="Times New Roman" w:eastAsia="Times New Roman"/>
          <w:b/>
          <w:sz w:val="24"/>
        </w:rPr>
        <w:t>Chamamento Público tem por objeto o credenciamento de pessoas jurídicas especializadas para a prestação de serviços de exames laboratoriais de análises clínicas, visando atender aos pacientes do Sistema Único de Saúde (SUS) e da rede municipal de Quatro Irmãos/RS.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2. ALINHAMENTO ENTRE A CONTRATAÇÃO E O PLANEJAMENTO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A contratação pretendida está alinhada com o planejamento desta Administração.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3. DESCRIÇÃO DOS REQUISITOS DA CONTRATAÇÃO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Os bens/serviços ora contratados têm natureza de bens/serviços comuns, tendo em vista que seus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padrões de desempenho e qualidade podem ser objetivamente definidos pelo edital, por meio de especificações usuais de mercado, </w:t>
      </w:r>
      <w:r>
        <w:rPr>
          <w:rFonts w:ascii="Times New Roman" w:hAnsi="Times New Roman" w:cs="Times New Roman" w:eastAsia="Times New Roman"/>
          <w:sz w:val="24"/>
        </w:rPr>
        <w:t>nos termos do art. 6º, inciso XIII, da Lei Federal nº 14.133/2021.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Os produtos/serviços deverão ser entregues imediato, com o pagamento previsto para ser efetuado mensalmente após a prestação de serviço. A contratação será realizada por meio de CHAMAMENTO PUBLICO/CREDENCIAMENTO, com critério de julgamento por Menor Preco Unitario, nos termos da Lei Federal nº 14.133/2021.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Para fornecimento/prestação dos serviços pretendidos os eventuais interessados deverão comprovar que atuam em ramo de atividade compatível com o objeto da licitação: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 </w:t>
      </w:r>
      <w:r>
        <w:rPr>
          <w:rFonts w:ascii="Times New Roman" w:hAnsi="Times New Roman" w:cs="Times New Roman" w:eastAsia="Times New Roman"/>
          <w:b/>
          <w:sz w:val="24"/>
        </w:rPr>
        <w:t>Chamamento Público tem por objeto o credenciamento de pessoas jurídicas especializadas para a prestação de serviços de exames laboratoriais de análises clínicas, visando atender aos pacientes do Sistema Único de Saúde (SUS) e da rede municipal de Quatro Irmãos/RS..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4. ESTIMATIVA DAS QUANTIDADES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Os quantitativos estimados para a contratação pretendida têm como parâmetro as últimas contratações com o mesmo objeto, realizadas por esta Administração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partindo da Solicitação Interna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nº 00629/26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, que possui como objetivo: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Prestação de serviços laboratoriais -Tabela não SUS.</w:t>
      </w:r>
      <w:r>
        <w:rPr>
          <w:rFonts w:ascii="Times New Roman" w:hAnsi="Times New Roman" w:cs="Times New Roman" w:eastAsia="Times New Roman"/>
          <w:sz w:val="24"/>
          <w:color w:val="000000"/>
        </w:rPr>
        <w:t>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5. ALTERNATIVAS DISPONÍVEIS NO MERCADO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Conforme pesquisa de mercado realizada, para solução da necessidade administrativa, objeto do presente Estudo Técnico Preliminar, vislumbra-se possível, sob o aspecto técnico e econômico, a contratação de fornecedores especializados em </w:t>
      </w:r>
      <w:r>
        <w:rPr>
          <w:rFonts w:ascii="Times New Roman" w:hAnsi="Times New Roman" w:cs="Times New Roman" w:eastAsia="Times New Roman"/>
          <w:b/>
          <w:sz w:val="24"/>
        </w:rPr>
        <w:t>Chamamento Público tem por objeto o credenciamento de pessoas jurídicas especializadas para a prestação de serviços de exames laboratoriais de análises clínicas, visando atender aos pacientes do Sistema Único de Saúde (SUS) e da rede municipal de Quatro Irmãos/RS..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6. ESTIMATIVA DO VALOR DA CONTRATAÇÃO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Estima-se para a contratação almejada o valor conforme descrito abaixo:</w:t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33"/>
        <w:gridCol w:w="3978"/>
        <w:gridCol w:w="828"/>
        <w:gridCol w:w="828"/>
        <w:gridCol w:w="843"/>
        <w:gridCol w:w="843"/>
        <w:gridCol w:w="843"/>
      </w:tblGrid>
      <w:tr>
        <w:tc>
          <w:tcPr>
            <w:tcW w:w="660" w:type="dxa"/>
            <w:shd w:val="clear" w:color="auto" w:fill="F0F0F0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Item</w:t>
            </w:r>
          </w:p>
        </w:tc>
        <w:tc>
          <w:tcPr>
            <w:tcW w:w="4005" w:type="dxa"/>
            <w:shd w:val="clear" w:color="auto" w:fill="F0F0F0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Descrição do Produto</w:t>
            </w:r>
          </w:p>
        </w:tc>
        <w:tc>
          <w:tcPr>
            <w:tcW w:w="855" w:type="dxa"/>
            <w:shd w:val="clear" w:color="auto" w:fill="F0F0F0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Qte</w:t>
            </w:r>
          </w:p>
        </w:tc>
        <w:tc>
          <w:tcPr>
            <w:tcW w:w="855" w:type="dxa"/>
            <w:shd w:val="clear" w:color="auto" w:fill="F0F0F0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Unid.</w:t>
            </w:r>
          </w:p>
        </w:tc>
        <w:tc>
          <w:tcPr>
            <w:tcW w:w="870" w:type="dxa"/>
            <w:shd w:val="clear" w:color="auto" w:fill="F0F0F0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Marca</w:t>
            </w:r>
          </w:p>
        </w:tc>
        <w:tc>
          <w:tcPr>
            <w:tcW w:w="870" w:type="dxa"/>
            <w:shd w:val="clear" w:color="auto" w:fill="F0F0F0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Valor Unit.</w:t>
            </w:r>
          </w:p>
        </w:tc>
        <w:tc>
          <w:tcPr>
            <w:tcW w:w="870" w:type="dxa"/>
            <w:shd w:val="clear" w:color="auto" w:fill="F0F0F0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Valor Total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ACIDO FÓLICO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ACIDO LÁTICO - LACTATO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ACIDO METILMALÔNICO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ACIDO URICO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ACIDO VALPROICO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ALBUMINA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ALDOSTERONA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ALFA 1 - ANTI-TRIPSINA FECAL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Alfa 1 Glicoproteina Acida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ALFA FETOPROTEINA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Amilase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ANDROSTENEDIONA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 PEPTÍDEO CÍCLICO CITRULINADO ( ANTI CCP)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ANTI-DNA DUPLA HÉLICE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ANTI-ENDOMISIO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ANTI-ENDOMISIO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ANTI-ENDOMISIO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ANTI-GLIADINA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ANTI-GLIADINA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ANTI-GLIADINA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Anti-HBe (Anticorpos contra o Antigeno e da Hepatite B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ANTI-TRANSGLUTAMINASE  -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ANTI-TRANSGLUTAMINASE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ANTI-TRANSGLUTAMINASE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 HBc -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 HBC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 HBc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 HDV (Anticorpos contra o virus da Hepatite D)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 INSULINA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 RECEPTOR DO TSH (TRAB)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32,90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32,90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 TIREOPEROXIDASE ( ANTI TPO)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Antibiograma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ANTICOAGULANTE LÚPICO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ANTICORPO ANTI SSA/RO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ANTICORPO CONTRA ANTIGENO DE SUPERFICIE DO HBV (ANTI HBS)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Anticorpos Anti-HIV1 + HIV2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ANTICORPOS ANTI-HTL V I/II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ANTIGENO DE SUPERFÍCIE DO VIRUS DA HEPATITE B (HBSAG)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ANTIGENO FECAL DE HELICOBACTER PYLORI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AUTOANTICORPOS ANTI CÉLULAS (FAN HEL - 2)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Bacterioscopia (Por lamina) GRAN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BETA 2 MICROGLOBULINA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Beta HCG quantitativo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12,25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12,25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BICARBONATO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Bilirrubina Total e Fracoes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BRUCELOSE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BRUCELOSE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 19-9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14,10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14,10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CALCIO (URINA 24 HORAS 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CALCIO (URINA AMOSTRA)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Calcio Ionico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CALCITONINA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CALPROTECTINA EM AMOSTRA DE FEZES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CAPACIDADE TOTAL DE LIGAÇÃO DO FERRO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CARBAMAZEPINA EXAME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CARDIOLIPINA IGA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CARDIOLIPINA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CARDIOLIPINA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CARGA VIRAL HEPATITE B (HBV QUANTITATIVO)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CARGA VIRAL HEPATITE C (QUANTITATIVO)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279,00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279,00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CATECOLAMINAS URINÁRIAS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CAXUMBA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32,60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32,60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CAXUMBA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32,60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32,60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CEA-ANTIGENO CARCINOEMBRIOGÊNICO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CHLAMYDIA TRACHOMATIS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CHLAMYDIA TRACHOMATIS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Citomegalovirus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CLORETO URINARIO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CLORETO URINÁRIO 24H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COBRE EXAME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Colesterol HDL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Colesterol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Colinesterase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COMPLEMENTO C3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COMPLEMENTO C4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COMPLEMENTO TOTAL - CH50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COPROCULTURA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COPROLÓGICO MULTIFUNCIONAL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CORTISOL BASAL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31,72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31,72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CORTISOL SALIVAR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Creatina fosfoquinase MB (CK-MB) - Atividade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CREATININA - URINA 24 HORAS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CREATININA EM AMOSTRA DE URINA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Curva Glicemica classica - 05 dosagens Oral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29,40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29,40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CURVA INSULINÊMICA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 DÍMEROS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89,60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89,60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DENGUE ANTICORPOS IGG E 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78,00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78,00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DENGUE NS1 + ANTICORPOS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DEPURAÇÃO DE CREATININA ENDOGENA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DHL-DESIDROGENASE LACTICA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Eletroforese de Proteinas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ELETROFORESE DE PROTEÍNAS SERICAS OU URINÁRIAS COM IMUNOFIXAÇÃO .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379,80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379,80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EPSTEIN BAAR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EPSTEIN BAAR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Eritrograma (heritrocitos, hemoglobina, hematocrito)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ESTRONA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CA 125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14,10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14,10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calcio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cloro pesquisa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colesterol (LDL)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creatinina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creatino fosfoquinase - CK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CURVA GLICEMICA PARA GESTANTES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16,80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16,80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de hormonios de triiodotironina - T3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de hormonios tireoestimulante - TSH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DE IMUNOLOGIA ANTIGENO E DA HEPATITE B - HB E AG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de imunologia de antigeno carcinoembriogenico - C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digoxina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Fator Reumatoide (turbidimetria)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ferritina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FÓSFORO URINA (AMOSTRA)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frutosamina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gama glutamil transferase-gama gt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glicose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Hepatite A - anti HVA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Hepatite A - anti HVA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Hepatite C - Anti HCV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36,00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36,00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HLA B27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IgE imunoglibulina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LABORATORIAL PESQUISA DE ANTÍGENO NS1 DA DENGUE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lípase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litio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magnesio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Microalbuminúria na urina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parasitologico de fezes (EPF)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POTASSIO NA URINA 24 HORAS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PROTEINAS TOTAIS E FRACÕES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PSA Livre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18,25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18,25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Qualittivo de Urina EQU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Rubéola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sodio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Tireoglobulina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transaminase pirúvica (TGP)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 ureia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 IMUNOLOGIA FTA-ABS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hematologia coombs indireto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hematologia hemoglobina, eletroforese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hematologia leucograma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hematologia reticulócitos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hormonios de testosterona livre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hormonios dehidroepiandrosterona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hormonios estradiol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9,15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9,15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hormonios t3 livre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hormonios t4 livre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hormônios testosterona 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IMUNOLOGIA CITOMEGALOVIRUS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microbiologia fezes, pesquisa de rotavírus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urina creatinúria em amostra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urina dismorfismo eritrocitario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Exames de urina proteinúria em amostra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FATOR DE VON WILLEBRAND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FATOR REUMATÓIDE QUANTITATIVO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FATOR V LEIDEN (TROMBOSE)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Ferro serico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Ferro tibec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FIBRINOGENIO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FITA  ABS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Foliculo Estimulante, Hormonio (FSH)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Fosfatase Acida - Fracao Prostatica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fosfatase acida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Fosfatase Alcalina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Fosforo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FUNGOS PESQUISA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GLICOSE POS PRANDIAL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GLICOSE TESTE DE TOLERANCIA 2 AMOSTRAS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14,80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14,80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HAV-IGG (Anticorpos IGG contra o Virus da Hepatite A)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HAV-IGM - Anticorpos IGM contra o virus da Hepatite 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Hemoglobina Glicada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Hemograma Completo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HEPATITE B- DETECÇÃO/PCR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HEPATITE B QUALITATIVO PCR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HERPES I E II-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HERPES I E II-IGM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HOMOCISTEÍNA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HORMONIO ADRENOCORTICOTRÓFICO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HORMONIO ANTI-MULLERIANO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HORMÔNIO DO CRESCIMENTO HUMANO (HGH)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HTLV I/II - ANTICORPOS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IGE ESPECIFICO P1 PARASITAS ASCARIS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IGE TOTAL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IMUNOELETROFORESE DE PROTEINAS SERICAS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IMUNOGLOBULINA 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IMUNOGLOBULINA 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IMUNOGLOBULINA 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17,50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17,50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INSULINA POS PRANDIAL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Lipidios Totais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LIPIDOGRAMA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LIPOPROTEINA 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Luteinizante, Hormonio (LH)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MACROPROLACTINA (DOSAGEM NO SANGUE)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MARCADOR TUMORAL CA 15.3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14,10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14,10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MICOLOGICO CULTURAL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13,05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13,05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MICOLÓGICO DIRETO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MICROALBUMINURIA 24 HORAS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Mononucleose, sorologia (Monoteste)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PEPTIDEO C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PESQUISA DE ANTIGENO DO SARS-COV-2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PESQUISA DE BAAR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Pesquisa de Leucocitos Fecais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PESQUISA DE OXIUROS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Pesquisa de Sangue Oculto nas Fezes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PESQUISA INDICAN - TESTE DE DISBIOSE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Potassio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POTASSIO URINA AMOSTRA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Progesterona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PROLACTINA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Proteina C Reativa, Determinacao Quantitativa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PROTEINA CEREATIVA ULTRA SENSIVEL (PCRUS)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PROTEINA LIGADORA IGF-1 TIPO 3 (IGF BP3)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PROTEINA URINÁRIA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Proteinas Totais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PSA (Antigeno Prostatico Especifico)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PTH - PARATORMONIO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RELAÇÃO ALDOSTERONA /RENINA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RELAÇÃO PROTEINA /CREATININA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14,80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14,80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Rubeola Anticorpos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Rubeola, HA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SATURAÇÃO DA TRANSFERRINA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SELENIO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SÍFILIS - VDRL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SODIO (URINA AMOSTRA)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SOMATOMEDINA C (IGF -1)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Streptococcus Beta - Hemolitico do Grupo A, Pesquisa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60,00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T3 REVERSO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T4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Tempo de protombina TP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7,60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7,60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Tempo de Tromboplastina  Parcial Ativada  (KTTP)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TESTE DE TOLERANCIA ORAL A LACTOSE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TESTE DO PEZINHO (PLUS)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TESTE DO PEZINHO MASTER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TESTE GENÉTICO DE INTOLERÂNCIA A LACTOSE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TESTE QUALITATIVO ANTI-SARS-COV-2 (IGM/IGG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Tipagem Sanguinea - Grupo ABO - Fator RH (Inclui D Frac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Tiroxina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220,00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Toxoplasmose - Avidez de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Toxoplasmose, IFI - IGG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Toxoplasmose, IFI - IGM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Transaminase oxalacética (AST)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Transferrina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10,45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10,45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Triglicerideos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TROPONINA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30,00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UROCULTURA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VITAMINA A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244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VITAMINA B1 (TIAMINA)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245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VITAMINA B12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246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VITAMINA B6 (PIRIDOXINA)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247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VITAMINA C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248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VITAMINA D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249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VITAMINA D - 125 DIHIDROXI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250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VITAMINA D - 25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251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VSG- HEMOSSEDIMENTAÇÃO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6,20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6,20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252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ZINCO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253</w:t>
            </w:r>
          </w:p>
        </w:tc>
        <w:tc>
          <w:tcPr>
            <w:tcW w:w="400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ZINCO (URINA AMOSTRA)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8,95</w:t>
            </w:r>
          </w:p>
        </w:tc>
      </w:tr>
    </w:tbl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Vislumbra-se que tal valor é compatível com o praticado pelo mercado correspondente, observando-se o disposto no Decreto Municipal, que “Estabelece o procedimento administrativo para a realização de pesquisa de preços para aquisição de bens, contratação de serviços em geral e para contratação de obras e serviços de engenharia no âmbito do Município de Quatro Irmãos, nos termos da Lei Federal nº 14.133/2021”.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7. DESCRIÇÃO DA SOLUÇÃO COMO UM TODO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A solução proposta é </w:t>
      </w:r>
      <w:r>
        <w:rPr>
          <w:rFonts w:ascii="Times New Roman" w:hAnsi="Times New Roman" w:cs="Times New Roman" w:eastAsia="Times New Roman"/>
          <w:b/>
          <w:sz w:val="24"/>
        </w:rPr>
        <w:t>Chamamento Público tem por objeto o credenciamento de pessoas jurídicas especializadas para a prestação de serviços de exames laboratoriais de análises clínicas, visando atender aos pacientes do Sistema Único de Saúde (SUS) e da rede municipal de Quatro Irmãos/RS.</w:t>
      </w:r>
      <w:r>
        <w:rPr>
          <w:rFonts w:ascii="Times New Roman" w:hAnsi="Times New Roman" w:cs="Times New Roman" w:eastAsia="Times New Roman"/>
          <w:sz w:val="24"/>
        </w:rPr>
        <w:t>, conforme as seguintes especificações/condições: Os produtos/serviços deverão ser entregues imediato, com o pagamento previsto para ser efetuado mensalmente após a prestação de serviço. A contratação será realizada por meio de CHAMAMENTO PUBLICO/CREDENCIAMENTO, com critério de julgamento por Menor Preco Unitario, nos termos da Lei Federal nº 14.133/2021.</w:t>
      </w:r>
    </w:p>
    <w:p>
      <w:pPr>
        <w:jc w:val="both"/>
        <w:widowControl/>
        <w:rPr>
          <w:rFonts w:ascii="Times New Roman" w:hAnsi="Times New Roman" w:cs="Times New Roman" w:eastAsia="Times New Roman"/>
          <w:u w:val="single"/>
          <w:sz w:val="24"/>
        </w:rPr>
      </w:pPr>
      <w:r>
        <w:rPr>
          <w:rFonts w:ascii="Times New Roman" w:hAnsi="Times New Roman" w:cs="Times New Roman" w:eastAsia="Times New Roman"/>
          <w:u w:val="single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 xml:space="preserve">8. . RESULTADOS PRETENDIDOS 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Pretende-se, com o presente processo licitatório, assegurar </w:t>
      </w:r>
      <w:r>
        <w:rPr>
          <w:rFonts w:ascii="Times New Roman" w:hAnsi="Times New Roman" w:cs="Times New Roman" w:eastAsia="Times New Roman"/>
          <w:sz w:val="24"/>
          <w:color w:val="000000"/>
        </w:rPr>
        <w:t>a seleção da proposta apta a gerar a contratação mais vantajosa para o Município.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Almeja-se, igualmente, assegurar tratamento isonômico entre os licitantes, bem como a justa competição, bem como evitar contratação com sobrepreço ou com preço manifestamente inexequível e superfaturamento na execução do contrato. </w:t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A contratação decorrente do presente processo licitatório exigirá da contratada o cumprimento das boas práticas de sustentabilidade, contribuindo para a racionalização e otimização do uso dos recursos, bem como para a redução dos impactos ambientais. 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</w:pPr>
      <w:bookmarkStart w:id="0" w:name="art18_1x"/>
      <w:bookmarkEnd w:id="0"/>
      <w:r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  <w:t>9. PROVIDÊNCIAS PRÉVIAS AO CONTRATO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>Para a contratação pretendida não haverá necessidade de providências prévias no âmbito da Administração. A Secretaria de Administração indicará servidores para atuarem como gestor e fiscal do contrato.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Ademais, para que a pretendida contratação tenha sucesso, é preciso que outras etapas sejam concluídas, quais sejam: 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a)</w:t>
      </w:r>
      <w:r>
        <w:rPr>
          <w:rFonts w:ascii="Times New Roman" w:hAnsi="Times New Roman" w:cs="Times New Roman" w:eastAsia="Times New Roman"/>
          <w:sz w:val="24"/>
        </w:rPr>
        <w:t xml:space="preserve"> Elaboração do Termo de Formalização da Dispensa;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b)</w:t>
      </w:r>
      <w:r>
        <w:rPr>
          <w:rFonts w:ascii="Times New Roman" w:hAnsi="Times New Roman" w:cs="Times New Roman" w:eastAsia="Times New Roman"/>
          <w:sz w:val="24"/>
        </w:rPr>
        <w:t xml:space="preserve"> Divulgação da AIME - Aviso de Manifestação de Intenção de Interesse, pelo prazo de 3 dias;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c)</w:t>
      </w:r>
      <w:r>
        <w:rPr>
          <w:rFonts w:ascii="Times New Roman" w:hAnsi="Times New Roman" w:cs="Times New Roman" w:eastAsia="Times New Roman"/>
          <w:sz w:val="24"/>
        </w:rPr>
        <w:t xml:space="preserve"> Publicação do Extrato da Dispensa.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  <w:t>10. CONTRATAÇÕES CORRELATAS E/OU INTERDEPENDENTES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Este estudo não identificou a necessidade de realizar contratações acessórias para a perfeita execução do objeto, uma vez que todos os meios necessários para a aquisição/operacionalização dos serviços podem ser supridos apenas com a contratação ora proposta.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Os bens/serviços que se pretende, portanto, são autônomos e prescindem de contratações correlatas ou interdependentes.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</w:pPr>
      <w:bookmarkStart w:id="1" w:name="art18_1xiii"/>
      <w:bookmarkEnd w:id="1"/>
      <w:r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  <w:t xml:space="preserve">11. DECLARAÇÃO DE VIABILIDADE 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Com base na justificativa e nas especificações técnicas constantes neste Estudo Técnico Preliminar e seus anexos, e na existência de planejamento orçamentário para subsidiar esta contratação, declaramos que a contratação é viável, atendendo aos padrões e preços de mercado.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 dispêndio financeiro decorrente da contratação ora pretendida decorrerá da dotação orçamentária: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01/08/01 - FUNDO MUNICIPAL DE SAÚDE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10.302.0107.2071.0000 - Assistencia Médica, Sanitária e Odontologica a população com recursos do ASPS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3.3.90.39.50 - SERVICOS MÉDICO-HOSPITALAR, ODONTOLÓGICOS  E LABORATORIAIS</w:t>
      </w:r>
    </w:p>
    <w:p>
      <w:pPr>
        <w:jc w:val="both"/>
        <w:spacing w:before="120" w:after="12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Ficha</w:t>
      </w:r>
      <w:r>
        <w:rPr>
          <w:rFonts w:ascii="Times New Roman" w:hAnsi="Times New Roman" w:cs="Times New Roman" w:eastAsia="Times New Roman"/>
          <w:sz w:val="24"/>
        </w:rPr>
        <w:t xml:space="preserve"> - 350</w:t>
      </w:r>
    </w:p>
    <w:p>
      <w:pPr>
        <w:jc w:val="both"/>
        <w:spacing w:before="120" w:after="12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12. GERENCIAMENTO DE RISCOS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Os riscos desta contratação foram mapeados e suas respectivas responsabilidades e formas de mitigação encontram-se detalhadas na Matriz de Risco, que será anexa ao presente.</w:t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Quatro Irmãos - RS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_____________________________</w:t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JOÃO PAULO BALBINOT</w:t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PREFEITO MUNICIPAL</w:t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Solicitante Responsável</w:t>
      </w:r>
    </w:p>
    <w:p>
      <w:r>
        <w:br w:type="page"/>
      </w:r>
    </w:p>
    <w:p>
      <w:pPr>
        <w:jc w:val="center"/>
        <w:outlineLvl w:val="1"/>
        <w:spacing w:before="200" w:after="120"/>
        <w:numPr>
          <w:ilvl w:val="1"/>
          <w:numId w:val="1"/>
        </w:numPr>
      </w:pPr>
      <w:bookmarkStart w:id="2" w:name="docs_internal_guid_0f259561_7fff_4fc1_79a1_"/>
      <w:bookmarkEnd w:id="2"/>
      <w:r>
        <w:rPr>
          <w:rFonts w:ascii="Times New Roman" w:hAnsi="Times New Roman" w:cs="Times New Roman" w:eastAsia="Times New Roman"/>
          <w:b/>
          <w:u w:color="auto"/>
          <w:sz w:val="24"/>
        </w:rPr>
        <w:t>Anexo - Matriz de Alocação de Riscos (Lei nº 14.133/2021)</w:t>
      </w:r>
    </w:p>
    <w:p>
      <w:pPr>
        <w:jc w:val="both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u w:color="auto"/>
          <w:sz w:val="24"/>
        </w:rPr>
      </w:pPr>
      <w:r>
        <w:rPr>
          <w:rFonts w:ascii="Times New Roman" w:hAnsi="Times New Roman" w:cs="Times New Roman" w:eastAsia="Times New Roman"/>
          <w:u w:color="auto"/>
          <w:sz w:val="24"/>
        </w:rPr>
        <w:tab/>
      </w:r>
      <w:r>
        <w:rPr>
          <w:rFonts w:ascii="Times New Roman" w:hAnsi="Times New Roman" w:cs="Times New Roman" w:eastAsia="Times New Roman"/>
          <w:u w:color="auto"/>
          <w:sz w:val="24"/>
        </w:rPr>
        <w:t>Esta matriz define a distribuição objetiva de responsabilidades, caracterizando o que é risco inerente ao negócio (álea ordinária) e o que enseja reequilíbrio econômico-financeiro (álea extraordinária).</w:t>
      </w:r>
    </w:p>
    <w:p>
      <w:pPr>
        <w:jc w:val="both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u w:color="auto"/>
          <w:sz w:val="24"/>
        </w:rPr>
      </w:pPr>
      <w:r>
        <w:rPr>
          <w:rFonts w:ascii="Times New Roman" w:hAnsi="Times New Roman" w:cs="Times New Roman" w:eastAsia="Times New Roman"/>
          <w:b/>
          <w:u w:color="auto"/>
          <w:sz w:val="24"/>
        </w:rPr>
        <w:t>Parâmetros (Probabilidade e Impacto):</w:t>
      </w:r>
      <w:r>
        <w:rPr>
          <w:rFonts w:ascii="Times New Roman" w:hAnsi="Times New Roman" w:cs="Times New Roman" w:eastAsia="Times New Roman"/>
          <w:u w:color="auto"/>
          <w:sz w:val="24"/>
        </w:rPr>
        <w:t xml:space="preserve"> Baixa/o (B), Média/o (M), Alta/o (A).</w:t>
      </w:r>
    </w:p>
    <w:p>
      <w:pPr>
        <w:jc w:val="center"/>
        <w:outlineLvl w:val="2"/>
        <w:spacing w:before="280" w:after="80"/>
        <w:numPr>
          <w:ilvl w:val="2"/>
          <w:numId w:val="1"/>
        </w:numPr>
      </w:pPr>
      <w:r>
        <w:rPr>
          <w:rFonts w:ascii="Times New Roman" w:hAnsi="Times New Roman" w:cs="Times New Roman" w:eastAsia="Times New Roman"/>
          <w:b/>
          <w:u w:color="auto"/>
          <w:sz w:val="24"/>
        </w:rPr>
        <w:t>Matriz de Riscos</w:t>
      </w:r>
    </w:p>
    <w:tbl>
      <w:tblPr>
        <w:tblW w:w="913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2030"/>
        <w:gridCol w:w="800"/>
        <w:gridCol w:w="845"/>
        <w:gridCol w:w="2195"/>
        <w:gridCol w:w="2600"/>
      </w:tblGrid>
      <w:tr>
        <w:tc>
          <w:tcPr>
            <w:tcW w:w="68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ID</w:t>
            </w:r>
          </w:p>
        </w:tc>
        <w:tc>
          <w:tcPr>
            <w:tcW w:w="203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Fato Gerador / Risco</w:t>
            </w:r>
          </w:p>
        </w:tc>
        <w:tc>
          <w:tcPr>
            <w:tcW w:w="8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Prob.</w:t>
            </w:r>
          </w:p>
        </w:tc>
        <w:tc>
          <w:tcPr>
            <w:tcW w:w="84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Imp.</w:t>
            </w:r>
          </w:p>
        </w:tc>
        <w:tc>
          <w:tcPr>
            <w:tcW w:w="219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Parte Responsável</w:t>
            </w:r>
          </w:p>
        </w:tc>
        <w:tc>
          <w:tcPr>
            <w:tcW w:w="26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Ação de Mitigação / Consequência</w:t>
            </w:r>
          </w:p>
        </w:tc>
      </w:tr>
      <w:tr>
        <w:tc>
          <w:tcPr>
            <w:tcW w:w="68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01</w:t>
            </w:r>
          </w:p>
        </w:tc>
        <w:tc>
          <w:tcPr>
            <w:tcW w:w="203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Álea Ordinária (Mercado):</w:t>
            </w:r>
            <w:r>
              <w:rPr>
                <w:rFonts w:ascii="Times New Roman" w:hAnsi="Times New Roman" w:cs="Times New Roman" w:eastAsia="Times New Roman"/>
                <w:u w:color="auto"/>
              </w:rPr>
              <w:t xml:space="preserve"> Variação normal de preços de insumos, frete, câmbio e inflação.</w:t>
            </w:r>
          </w:p>
        </w:tc>
        <w:tc>
          <w:tcPr>
            <w:tcW w:w="8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A</w:t>
            </w:r>
          </w:p>
        </w:tc>
        <w:tc>
          <w:tcPr>
            <w:tcW w:w="84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M</w:t>
            </w:r>
          </w:p>
        </w:tc>
        <w:tc>
          <w:tcPr>
            <w:tcW w:w="219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Contratada</w:t>
            </w:r>
          </w:p>
        </w:tc>
        <w:tc>
          <w:tcPr>
            <w:tcW w:w="26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Risco do fornecedor. Não cabe reequilíbrio. Reajuste apenas por índices oficiais após 12 meses.</w:t>
            </w:r>
          </w:p>
        </w:tc>
      </w:tr>
      <w:tr>
        <w:tc>
          <w:tcPr>
            <w:tcW w:w="68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02</w:t>
            </w:r>
          </w:p>
        </w:tc>
        <w:tc>
          <w:tcPr>
            <w:tcW w:w="203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Álea Extraordinária:</w:t>
            </w:r>
            <w:r>
              <w:rPr>
                <w:rFonts w:ascii="Times New Roman" w:hAnsi="Times New Roman" w:cs="Times New Roman" w:eastAsia="Times New Roman"/>
                <w:u w:color="auto"/>
              </w:rPr>
              <w:t xml:space="preserve"> Eventos imprevisíveis (pandemias, força maior, desastres).</w:t>
            </w:r>
          </w:p>
        </w:tc>
        <w:tc>
          <w:tcPr>
            <w:tcW w:w="8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B</w:t>
            </w:r>
          </w:p>
        </w:tc>
        <w:tc>
          <w:tcPr>
            <w:tcW w:w="84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A</w:t>
            </w:r>
          </w:p>
        </w:tc>
        <w:tc>
          <w:tcPr>
            <w:tcW w:w="219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Contratante</w:t>
            </w:r>
          </w:p>
        </w:tc>
        <w:tc>
          <w:tcPr>
            <w:tcW w:w="26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Autoriza a recomposição do equilíbrio econômico-financeiro ou a rescisão amigável.</w:t>
            </w:r>
          </w:p>
        </w:tc>
      </w:tr>
      <w:tr>
        <w:tc>
          <w:tcPr>
            <w:tcW w:w="68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03</w:t>
            </w:r>
          </w:p>
        </w:tc>
        <w:tc>
          <w:tcPr>
            <w:tcW w:w="203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Falha Operacional/Logística:</w:t>
            </w:r>
            <w:r>
              <w:rPr>
                <w:rFonts w:ascii="Times New Roman" w:hAnsi="Times New Roman" w:cs="Times New Roman" w:eastAsia="Times New Roman"/>
                <w:u w:color="auto"/>
              </w:rPr>
              <w:t xml:space="preserve"> Atraso, perda ou entrega inferior ao limite mínimo.</w:t>
            </w:r>
          </w:p>
        </w:tc>
        <w:tc>
          <w:tcPr>
            <w:tcW w:w="8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M</w:t>
            </w:r>
          </w:p>
        </w:tc>
        <w:tc>
          <w:tcPr>
            <w:tcW w:w="84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M</w:t>
            </w:r>
          </w:p>
        </w:tc>
        <w:tc>
          <w:tcPr>
            <w:tcW w:w="219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Contratada</w:t>
            </w:r>
          </w:p>
        </w:tc>
        <w:tc>
          <w:tcPr>
            <w:tcW w:w="26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Aplicação de sanções (multas) e obrigação de substituição do item às custas do fornecedor.</w:t>
            </w:r>
          </w:p>
        </w:tc>
      </w:tr>
      <w:tr>
        <w:tc>
          <w:tcPr>
            <w:tcW w:w="68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04</w:t>
            </w:r>
          </w:p>
        </w:tc>
        <w:tc>
          <w:tcPr>
            <w:tcW w:w="203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Alteração Unilateral:</w:t>
            </w:r>
            <w:r>
              <w:rPr>
                <w:rFonts w:ascii="Times New Roman" w:hAnsi="Times New Roman" w:cs="Times New Roman" w:eastAsia="Times New Roman"/>
                <w:u w:color="auto"/>
              </w:rPr>
              <w:t xml:space="preserve"> Mudanças no TR, projeto ou especificações após assinatura.</w:t>
            </w:r>
          </w:p>
        </w:tc>
        <w:tc>
          <w:tcPr>
            <w:tcW w:w="8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B</w:t>
            </w:r>
          </w:p>
        </w:tc>
        <w:tc>
          <w:tcPr>
            <w:tcW w:w="84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M</w:t>
            </w:r>
          </w:p>
        </w:tc>
        <w:tc>
          <w:tcPr>
            <w:tcW w:w="219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Contratante</w:t>
            </w:r>
          </w:p>
        </w:tc>
        <w:tc>
          <w:tcPr>
            <w:tcW w:w="26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Aditamento contratual para acréscimo de prazo/valor, respeitando os limites legais.</w:t>
            </w:r>
          </w:p>
        </w:tc>
      </w:tr>
      <w:tr>
        <w:tc>
          <w:tcPr>
            <w:tcW w:w="68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05</w:t>
            </w:r>
          </w:p>
        </w:tc>
        <w:tc>
          <w:tcPr>
            <w:tcW w:w="203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Inadimplência Trabalhista:</w:t>
            </w:r>
            <w:r>
              <w:rPr>
                <w:rFonts w:ascii="Times New Roman" w:hAnsi="Times New Roman" w:cs="Times New Roman" w:eastAsia="Times New Roman"/>
                <w:u w:color="auto"/>
              </w:rPr>
              <w:t xml:space="preserve"> Falha no pagamento dos funcionários da empresa.</w:t>
            </w:r>
          </w:p>
        </w:tc>
        <w:tc>
          <w:tcPr>
            <w:tcW w:w="8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M</w:t>
            </w:r>
          </w:p>
        </w:tc>
        <w:tc>
          <w:tcPr>
            <w:tcW w:w="84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A</w:t>
            </w:r>
          </w:p>
        </w:tc>
        <w:tc>
          <w:tcPr>
            <w:tcW w:w="219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Contratada</w:t>
            </w:r>
          </w:p>
        </w:tc>
        <w:tc>
          <w:tcPr>
            <w:tcW w:w="26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Retenção preventiva de faturas, exigência de regularidade e aplicação de multas.</w:t>
            </w:r>
          </w:p>
        </w:tc>
      </w:tr>
      <w:tr>
        <w:tc>
          <w:tcPr>
            <w:tcW w:w="68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06</w:t>
            </w:r>
          </w:p>
        </w:tc>
        <w:tc>
          <w:tcPr>
            <w:tcW w:w="203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Fato do Príncipe:</w:t>
            </w:r>
            <w:r>
              <w:rPr>
                <w:rFonts w:ascii="Times New Roman" w:hAnsi="Times New Roman" w:cs="Times New Roman" w:eastAsia="Times New Roman"/>
                <w:u w:color="auto"/>
              </w:rPr>
              <w:t xml:space="preserve"> Criação/extinção de tributos ou encargos legais supervenientes.</w:t>
            </w:r>
          </w:p>
        </w:tc>
        <w:tc>
          <w:tcPr>
            <w:tcW w:w="8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B</w:t>
            </w:r>
          </w:p>
        </w:tc>
        <w:tc>
          <w:tcPr>
            <w:tcW w:w="84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M</w:t>
            </w:r>
          </w:p>
        </w:tc>
        <w:tc>
          <w:tcPr>
            <w:tcW w:w="219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Contratante</w:t>
            </w:r>
          </w:p>
        </w:tc>
        <w:tc>
          <w:tcPr>
            <w:tcW w:w="26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Revisão contratual (para mais ou menos) refletindo a exata alteração tributária.</w:t>
            </w:r>
          </w:p>
        </w:tc>
      </w:tr>
      <w:tr>
        <w:tc>
          <w:tcPr>
            <w:tcW w:w="68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07</w:t>
            </w:r>
          </w:p>
        </w:tc>
        <w:tc>
          <w:tcPr>
            <w:tcW w:w="203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Atraso de Pagamento:</w:t>
            </w:r>
            <w:r>
              <w:rPr>
                <w:rFonts w:ascii="Times New Roman" w:hAnsi="Times New Roman" w:cs="Times New Roman" w:eastAsia="Times New Roman"/>
                <w:u w:color="auto"/>
              </w:rPr>
              <w:t xml:space="preserve"> Inadimplência da Administração superior a 2 (dois) meses.</w:t>
            </w:r>
          </w:p>
        </w:tc>
        <w:tc>
          <w:tcPr>
            <w:tcW w:w="8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M</w:t>
            </w:r>
          </w:p>
        </w:tc>
        <w:tc>
          <w:tcPr>
            <w:tcW w:w="84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A</w:t>
            </w:r>
          </w:p>
        </w:tc>
        <w:tc>
          <w:tcPr>
            <w:tcW w:w="2195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b/>
                <w:u w:color="auto"/>
              </w:rPr>
            </w:pPr>
            <w:r>
              <w:rPr>
                <w:rFonts w:ascii="Times New Roman" w:hAnsi="Times New Roman" w:cs="Times New Roman" w:eastAsia="Times New Roman"/>
                <w:b/>
                <w:u w:color="auto"/>
              </w:rPr>
              <w:t>Contratante</w:t>
            </w:r>
          </w:p>
        </w:tc>
        <w:tc>
          <w:tcPr>
            <w:tcW w:w="2600" w:type="dxa"/>
            <w:tcBorders>
              <w:left w:val="single" w:sz="8" w:color="000000"/>
              <w:top w:val="single" w:sz="8" w:color="000000"/>
              <w:right w:val="single" w:sz="8" w:color="000000"/>
              <w:bottom w:val="single" w:sz="8" w:color="000000"/>
            </w:tcBorders>
            <w:vAlign w:val="center"/>
          </w:tcPr>
          <w:p>
            <w:pPr>
              <w:jc w:val="both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Times New Roman" w:hAnsi="Times New Roman" w:cs="Times New Roman" w:eastAsia="Times New Roman"/>
                <w:u w:color="auto"/>
              </w:rPr>
            </w:pPr>
            <w:r>
              <w:rPr>
                <w:rFonts w:ascii="Times New Roman" w:hAnsi="Times New Roman" w:cs="Times New Roman" w:eastAsia="Times New Roman"/>
                <w:u w:color="auto"/>
              </w:rPr>
              <w:t>Incidência de atualização monetária e juros. Direito de suspensão por parte da empresa.</w:t>
            </w:r>
          </w:p>
        </w:tc>
      </w:tr>
    </w:tbl>
    <w:sectPr>
      <w:headerReference w:type="default" r:id="rIdHF0"/>
      <w:pgSz w:w="11906" w:h="16838"/>
      <w:pgMar w:top="1417" w:right="850" w:bottom="1417" w:left="1984" w:header="567" w:footer="567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charset w:val="01"/>
  </w:font>
  <w:font w:name="Tahoma">
    <w:charset w:val="01"/>
  </w:font>
  <w:font w:name="Times New Roman">
    <w:charset w:val="00"/>
  </w:font>
  <w:font w:name="Courier New">
    <w:charset w:val="00"/>
  </w:font>
  <w:font w:name="Times New Roman">
    <w:charset w:val="01"/>
  </w:font>
</w:fonts>
</file>

<file path=word/header.xml><?xml version="1.0" encoding="utf-8"?>
<w:hdr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p>
    <w:r>
      <w:drawing>
        <wp:inline distT="0" distB="0" distL="0" distR="0">
          <wp:extent cx="5419725" cy="895350"/>
          <wp:effectExtent l="0" t="0" r="0" b="0"/>
          <wp:docPr id="1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.jpg"/>
                  <pic:cNvPicPr/>
                </pic:nvPicPr>
                <pic:blipFill>
                  <a:blip r:embed="prId1" cstate="print"/>
                  <a:stretch>
                    <a:fillRect/>
                  </a:stretch>
                </pic:blipFill>
                <pic:spPr>
                  <a:xfrm>
                    <a:off x="0" y="0"/>
                    <a:ext cx="5419725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multilevel"/>
    <w:lvl w:ilvl="0">
      <w:numFmt w:val="decimal"/>
      <w:lvlText w:val=""/>
      <w:lvlJc w:val="left"/>
      <w:start w:val="1"/>
      <w:pPr>
        <w:ind w:left="0" w:firstLine="0"/>
        <w:tab w:val="num" w:pos="0"/>
      </w:pPr>
      <w:rPr>
        <w:rFonts w:ascii="Times New Roman" w:hAnsi="Times New Roman" w:cs="Times New Roman" w:eastAsia="Times New Roman"/>
        <w:sz w:val="24"/>
      </w:rPr>
    </w:lvl>
    <w:lvl w:ilvl="1">
      <w:numFmt w:val="decimal"/>
      <w:lvlText w:val=""/>
      <w:lvlJc w:val="left"/>
      <w:start w:val="1"/>
      <w:pPr>
        <w:ind w:left="0" w:firstLine="0"/>
        <w:tab w:val="num" w:pos="0"/>
      </w:pPr>
      <w:rPr>
        <w:rFonts w:ascii="Times New Roman" w:hAnsi="Times New Roman" w:cs="Times New Roman" w:eastAsia="Times New Roman"/>
        <w:b/>
        <w:color w:val="2D3748"/>
      </w:rPr>
    </w:lvl>
    <w:lvl w:ilvl="2">
      <w:numFmt w:val="decimal"/>
      <w:lvlText w:val=""/>
      <w:lvlJc w:val="left"/>
      <w:start w:val="1"/>
      <w:pPr>
        <w:ind w:left="0" w:firstLine="0"/>
        <w:tab w:val="num" w:pos="0"/>
      </w:pPr>
      <w:rPr>
        <w:rFonts w:ascii="Times New Roman" w:hAnsi="Times New Roman" w:cs="Times New Roman" w:eastAsia="Times New Roman"/>
        <w:b/>
        <w:color w:val="4A5568"/>
      </w:rPr>
    </w:lvl>
    <w:lvl w:ilvl="3">
      <w:numFmt w:val="decimal"/>
      <w:lvlText w:val=""/>
      <w:lvlJc w:val="left"/>
      <w:start w:val="1"/>
      <w:pPr>
        <w:ind w:left="0" w:firstLine="0"/>
        <w:tab w:val="num" w:pos="0"/>
      </w:pPr>
      <w:rPr>
        <w:rFonts w:ascii="Times New Roman" w:hAnsi="Times New Roman" w:cs="Times New Roman" w:eastAsia="Times New Roman"/>
        <w:sz w:val="24"/>
      </w:rPr>
    </w:lvl>
    <w:lvl w:ilvl="4">
      <w:numFmt w:val="decimal"/>
      <w:lvlText w:val=""/>
      <w:lvlJc w:val="left"/>
      <w:start w:val="1"/>
      <w:pPr>
        <w:ind w:left="0" w:firstLine="0"/>
        <w:tab w:val="num" w:pos="0"/>
      </w:pPr>
      <w:rPr>
        <w:rFonts w:ascii="Times New Roman" w:hAnsi="Times New Roman" w:cs="Times New Roman" w:eastAsia="Times New Roman"/>
        <w:sz w:val="24"/>
      </w:rPr>
    </w:lvl>
    <w:lvl w:ilvl="5">
      <w:numFmt w:val="decimal"/>
      <w:lvlText w:val=""/>
      <w:lvlJc w:val="left"/>
      <w:start w:val="1"/>
      <w:pPr>
        <w:ind w:left="0" w:firstLine="0"/>
        <w:tab w:val="num" w:pos="0"/>
      </w:pPr>
      <w:rPr>
        <w:rFonts w:ascii="Times New Roman" w:hAnsi="Times New Roman" w:cs="Times New Roman" w:eastAsia="Times New Roman"/>
        <w:sz w:val="24"/>
      </w:rPr>
    </w:lvl>
    <w:lvl w:ilvl="6">
      <w:numFmt w:val="decimal"/>
      <w:lvlText w:val=""/>
      <w:lvlJc w:val="left"/>
      <w:start w:val="1"/>
      <w:pPr>
        <w:ind w:left="0" w:firstLine="0"/>
        <w:tab w:val="num" w:pos="0"/>
      </w:pPr>
      <w:rPr>
        <w:rFonts w:ascii="Times New Roman" w:hAnsi="Times New Roman" w:cs="Times New Roman" w:eastAsia="Times New Roman"/>
        <w:sz w:val="24"/>
      </w:rPr>
    </w:lvl>
    <w:lvl w:ilvl="7">
      <w:numFmt w:val="decimal"/>
      <w:lvlText w:val=""/>
      <w:lvlJc w:val="left"/>
      <w:start w:val="1"/>
      <w:pPr>
        <w:ind w:left="0" w:firstLine="0"/>
        <w:tab w:val="num" w:pos="0"/>
      </w:pPr>
      <w:rPr>
        <w:rFonts w:ascii="Times New Roman" w:hAnsi="Times New Roman" w:cs="Times New Roman" w:eastAsia="Times New Roman"/>
        <w:sz w:val="24"/>
      </w:rPr>
    </w:lvl>
    <w:lvl w:ilvl="8">
      <w:numFmt w:val="decimal"/>
      <w:lvlText w:val=""/>
      <w:lvlJc w:val="left"/>
      <w:start w:val="1"/>
      <w:pPr>
        <w:ind w:left="0" w:firstLine="0"/>
        <w:tab w:val="num" w:pos="0"/>
      </w:pPr>
      <w:rPr>
        <w:rFonts w:ascii="Times New Roman" w:hAnsi="Times New Roman" w:cs="Times New Roman" w:eastAsia="Times New Roman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>
  <w:zoom w:percent="100"/>
  <w:displayBackgroundShape/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after="0" w:before="0" w:line="240" w:lineRule="auto"/>
        <w:widowControl w:val="0"/>
      </w:pPr>
    </w:pPrDefault>
    <w:rPrDefault>
      <w:rPr>
        <w:rFonts w:ascii="Arial" w:hAnsi="Arial" w:cs="Arial" w:eastAsia="Arial"/>
        <w:sz w:val="20"/>
      </w:rPr>
    </w:rPrDefault>
  </w:docDefaults>
  <w:style w:type="paragraph" w:default="1" w:styleId="0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FT" Type="http://schemas.openxmlformats.org/officeDocument/2006/relationships/fontTable" Target="fontTable.xml"/><Relationship Id="rIdSt" Type="http://schemas.openxmlformats.org/officeDocument/2006/relationships/styles" Target="styles.xml"/><Relationship Id="rIdHF0" Type="http://schemas.openxmlformats.org/officeDocument/2006/relationships/header" Target="header.xml"/><Relationship Id="rIdHF1" Type="http://schemas.openxmlformats.org/officeDocument/2006/relationships/footer" Target="footer.xml"/><Relationship Id="rIdHF2" Type="http://schemas.openxmlformats.org/officeDocument/2006/relationships/header" Target="headerFirstPage.xml"/><Relationship Id="rIdHF3" Type="http://schemas.openxmlformats.org/officeDocument/2006/relationships/footer" Target="footerFirstPage.xml"/><Relationship Id="rIdHF4" Type="http://schemas.openxmlformats.org/officeDocument/2006/relationships/header" Target="headerEvenPages.xml"/><Relationship Id="rIdHF5" Type="http://schemas.openxmlformats.org/officeDocument/2006/relationships/footer" Target="footerEvenPages.xml"/><Relationship Id="rIdNm" Type="http://schemas.openxmlformats.org/officeDocument/2006/relationships/numbering" Target="numbering.xml"/><Relationship Id="rIdSet" Type="http://schemas.openxmlformats.org/officeDocument/2006/relationships/settings" Target="settings.xml"/></Relationships>
</file>

<file path=word/_rels/header.xml.rels><?xml version="1.0" encoding="UTF-8" standalone="yes"?>
<Relationships xmlns="http://schemas.openxmlformats.org/package/2006/relationships"><Relationship Id="prId1" Type="http://schemas.openxmlformats.org/officeDocument/2006/relationships/image" Target="media/img1.jpg"/></Relationships>
</file>