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headerFirstPage.xml" ContentType="application/vnd.openxmlformats-officedocument.wordprocessingml.header+xml"/>
  <Override PartName="/word/footerFirstPage.xml" ContentType="application/vnd.openxmlformats-officedocument.wordprocessingml.footer+xml"/>
  <Override PartName="/word/headerEvenPages.xml" ContentType="application/vnd.openxmlformats-officedocument.wordprocessingml.header+xml"/>
  <Override PartName="/word/footerEvenPages.xml" ContentType="application/vnd.openxmlformats-officedocument.wordprocessingml.footer+xml"/>
  <Override PartName="/word/settings.xml" ContentType="application/vnd.openxmlformats-officedocument.wordprocessingml.setting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14="http://schemas.microsoft.com/office/word/2010/wordprocessingDrawing" xmlns:w14="http://schemas.microsoft.com/office/word/2010/wordml" xmlns:wne="http://schemas.microsoft.com/office/word/2006/wordml" xmlns:wps="http://schemas.microsoft.com/office/word/2010/wordprocessingShape" xmlns:mc="http://schemas.openxmlformats.org/markup-compatibility/2006" mc:Ignorable="wp14">
  <w:background w:color="FFFFFF"/>
  <w:body>
    <w:p>
      <w:pPr>
        <w:jc w:val="right"/>
        <w:widowControl/>
        <w:spacing w:before="120" w:lineRule="auto" w:line="360"/>
        <w:rPr>
          <w:rFonts w:ascii="Times New Roman" w:hAnsi="Times New Roman" w:cs="Times New Roman" w:eastAsia="Times New Roman"/>
          <w:b/>
          <w:sz w:val="24"/>
        </w:rPr>
      </w:pPr>
      <w:r>
        <w:rPr>
          <w:rFonts w:ascii="Times New Roman" w:hAnsi="Times New Roman" w:cs="Times New Roman" w:eastAsia="Times New Roman"/>
          <w:b/>
          <w:sz w:val="24"/>
        </w:rPr>
        <w:t/>
      </w:r>
    </w:p>
    <w:p>
      <w:pPr>
        <w:jc w:val="center"/>
        <w:widowControl/>
        <w:spacing w:after="160" w:lineRule="auto" w:line="256"/>
        <w:rPr>
          <w:rFonts w:ascii="Times New Roman" w:hAnsi="Times New Roman" w:cs="Times New Roman" w:eastAsia="Times New Roman"/>
          <w:b/>
          <w:sz w:val="24"/>
        </w:rPr>
      </w:pPr>
      <w:r>
        <w:rPr>
          <w:rFonts w:ascii="Times New Roman" w:hAnsi="Times New Roman" w:cs="Times New Roman" w:eastAsia="Times New Roman"/>
          <w:b/>
          <w:sz w:val="24"/>
        </w:rPr>
        <w:t>PARECER JURÍDICO</w:t>
      </w:r>
    </w:p>
    <w:p>
      <w:pPr>
        <w:jc w:val="center"/>
        <w:widowControl/>
        <w:spacing w:after="160" w:lineRule="auto" w:line="256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>(Lei nº 14.133/2021)</w:t>
      </w:r>
    </w:p>
    <w:p>
      <w:pPr>
        <w:widowControl/>
        <w:spacing w:after="160" w:lineRule="auto" w:line="256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/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b/>
          <w:sz w:val="24"/>
        </w:rPr>
      </w:pPr>
      <w:r>
        <w:rPr>
          <w:rFonts w:ascii="Times New Roman" w:hAnsi="Times New Roman" w:cs="Times New Roman" w:eastAsia="Times New Roman"/>
          <w:b/>
          <w:sz w:val="24"/>
        </w:rPr>
        <w:t xml:space="preserve">Processo de Contratação nº 000449/26 por </w:t>
      </w:r>
      <w:r>
        <w:rPr>
          <w:rFonts w:ascii="Times New Roman" w:hAnsi="Times New Roman" w:cs="Times New Roman" w:eastAsia="Times New Roman"/>
          <w:b/>
          <w:i/>
          <w:sz w:val="24"/>
        </w:rPr>
        <w:t xml:space="preserve">CHAMAMENTO PUBLICO/CREDENCIAMENTO DE </w:t>
      </w:r>
      <w:r>
        <w:rPr>
          <w:rFonts w:ascii="Times New Roman" w:hAnsi="Times New Roman" w:cs="Times New Roman" w:eastAsia="Times New Roman"/>
          <w:b/>
          <w:i/>
          <w:sz w:val="24"/>
        </w:rPr>
        <w:t>LICITAÇÃO</w:t>
      </w:r>
      <w:r>
        <w:rPr>
          <w:rFonts w:ascii="Times New Roman" w:hAnsi="Times New Roman" w:cs="Times New Roman" w:eastAsia="Times New Roman"/>
          <w:b/>
          <w:sz w:val="24"/>
        </w:rPr>
        <w:t xml:space="preserve"> nº 6/2026</w:t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/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 xml:space="preserve">1.  </w:t>
      </w: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 xml:space="preserve">Trata-se de processo de contratação direta por </w:t>
      </w:r>
      <w:r>
        <w:rPr>
          <w:rFonts w:ascii="Times New Roman" w:hAnsi="Times New Roman" w:cs="Times New Roman" w:eastAsia="Times New Roman"/>
          <w:b/>
          <w:i/>
          <w:sz w:val="24"/>
        </w:rPr>
        <w:t>CHAMAMENTO PUBLICO/CREDENCIAMENTO</w:t>
      </w:r>
      <w:r>
        <w:rPr>
          <w:rFonts w:ascii="Times New Roman" w:hAnsi="Times New Roman" w:cs="Times New Roman" w:eastAsia="Times New Roman"/>
          <w:sz w:val="24"/>
        </w:rPr>
        <w:t>, nos termos do A79I(Art. 79, inc. I, da Lei nº 14.133/2021).</w:t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i/>
          <w:sz w:val="24"/>
        </w:rPr>
      </w:pPr>
      <w:r>
        <w:rPr>
          <w:rFonts w:ascii="Times New Roman" w:hAnsi="Times New Roman" w:cs="Times New Roman" w:eastAsia="Times New Roman"/>
          <w:sz w:val="24"/>
        </w:rPr>
        <w:t xml:space="preserve"> </w:t>
      </w: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 xml:space="preserve">A contratação pretendida está embasada na motivação do Departamento/Secretaria 01/08/01 - FUNDO MUNICIPAL DE SAÚDE, que tem como objetivo geral: </w:t>
      </w:r>
      <w:r>
        <w:rPr>
          <w:rFonts w:ascii="Times New Roman" w:hAnsi="Times New Roman" w:cs="Times New Roman" w:eastAsia="Times New Roman"/>
          <w:i/>
          <w:sz w:val="24"/>
        </w:rPr>
        <w:t>Chamamento Público tem por objeto o credenciamento de pessoas jurídicas especializadas para a prestação de serviços de exames laboratoriais de análises clínicas, visando atender aos pacientes do Sistema Único de Saúde (SUS) e da rede municipal de Quatro Irmãos/RS.</w:t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sz w:val="24"/>
          <w:color w:val="000000"/>
        </w:rPr>
      </w:pP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  <w:color w:val="000000"/>
        </w:rPr>
        <w:t xml:space="preserve">A contratação origina-se da Solicitação Interna </w:t>
      </w:r>
      <w:r>
        <w:rPr>
          <w:rFonts w:ascii="Times New Roman" w:hAnsi="Times New Roman" w:cs="Times New Roman" w:eastAsia="Times New Roman"/>
          <w:b/>
          <w:sz w:val="24"/>
          <w:color w:val="000000"/>
        </w:rPr>
        <w:t>nº 00629/26</w:t>
      </w:r>
      <w:r>
        <w:rPr>
          <w:rFonts w:ascii="Times New Roman" w:hAnsi="Times New Roman" w:cs="Times New Roman" w:eastAsia="Times New Roman"/>
          <w:sz w:val="24"/>
          <w:color w:val="000000"/>
        </w:rPr>
        <w:t xml:space="preserve">, que possui como objetivo: </w:t>
      </w:r>
      <w:r>
        <w:rPr>
          <w:rFonts w:ascii="Times New Roman" w:hAnsi="Times New Roman" w:cs="Times New Roman" w:eastAsia="Times New Roman"/>
          <w:b/>
          <w:sz w:val="24"/>
          <w:color w:val="000000"/>
        </w:rPr>
        <w:t>Prestação de serviços laboratoriais -Tabela não SUS.</w:t>
      </w:r>
      <w:r>
        <w:rPr>
          <w:rFonts w:ascii="Times New Roman" w:hAnsi="Times New Roman" w:cs="Times New Roman" w:eastAsia="Times New Roman"/>
          <w:sz w:val="24"/>
          <w:color w:val="000000"/>
        </w:rPr>
        <w:t>. A referida solicitação trata do seguinte:</w:t>
      </w:r>
    </w:p>
    <w:tbl>
      <w:tblPr>
        <w:tblW w:w="5000" w:type="pct"/>
        <w:tblLayout w:type="fixed"/>
        <w:tblCellMar>
          <w:top w:w="0" w:type="dxa"/>
          <w:left w:w="1" w:type="dxa"/>
          <w:bottom w:w="0" w:type="dxa"/>
          <w:right w:w="1" w:type="dxa"/>
        </w:tblCellMar>
        <w:shd w:val="clear" w:color="auto" w:fill="FFFFFF"/>
      </w:tblPr>
      <w:tblGrid>
        <w:gridCol w:w="633"/>
        <w:gridCol w:w="3978"/>
        <w:gridCol w:w="828"/>
        <w:gridCol w:w="828"/>
        <w:gridCol w:w="843"/>
        <w:gridCol w:w="843"/>
        <w:gridCol w:w="843"/>
      </w:tblGrid>
      <w:tr>
        <w:tc>
          <w:tcPr>
            <w:tcW w:w="660" w:type="dxa"/>
            <w:shd w:val="clear" w:color="auto" w:fill="F0F0F0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Item</w:t>
            </w:r>
          </w:p>
        </w:tc>
        <w:tc>
          <w:tcPr>
            <w:tcW w:w="4005" w:type="dxa"/>
            <w:shd w:val="clear" w:color="auto" w:fill="F0F0F0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Descrição do Produto</w:t>
            </w:r>
          </w:p>
        </w:tc>
        <w:tc>
          <w:tcPr>
            <w:tcW w:w="855" w:type="dxa"/>
            <w:shd w:val="clear" w:color="auto" w:fill="F0F0F0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Qte</w:t>
            </w:r>
          </w:p>
        </w:tc>
        <w:tc>
          <w:tcPr>
            <w:tcW w:w="855" w:type="dxa"/>
            <w:shd w:val="clear" w:color="auto" w:fill="F0F0F0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Unid.</w:t>
            </w:r>
          </w:p>
        </w:tc>
        <w:tc>
          <w:tcPr>
            <w:tcW w:w="870" w:type="dxa"/>
            <w:shd w:val="clear" w:color="auto" w:fill="F0F0F0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Marca</w:t>
            </w:r>
          </w:p>
        </w:tc>
        <w:tc>
          <w:tcPr>
            <w:tcW w:w="870" w:type="dxa"/>
            <w:shd w:val="clear" w:color="auto" w:fill="F0F0F0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Valor Unit.</w:t>
            </w:r>
          </w:p>
        </w:tc>
        <w:tc>
          <w:tcPr>
            <w:tcW w:w="870" w:type="dxa"/>
            <w:shd w:val="clear" w:color="auto" w:fill="F0F0F0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Valor Total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ACIDO FÓLICO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6,20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6,20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ACIDO LÁTICO - LACTATO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10,20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10,20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3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ACIDO METILMALÔNICO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182,00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182,00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ACIDO URICO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5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ACIDO VALPROICO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18,50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18,50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6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ALBUMINA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5,20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5,20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7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ALDOSTERONA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18,90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18,90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8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ALFA 1 - ANTI-TRIPSINA FECAL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22,20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22,20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9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Alfa 1 Glicoproteina Acida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9,90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9,90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10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ALFA FETOPROTEINA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9,60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9,60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11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Amilase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12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ANDROSTENEDIONA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6,90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6,90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13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ANTI- PEPTÍDEO CÍCLICO CITRULINADO ( ANTI CCP)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42,00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42,00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14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ANTI-DNA DUPLA HÉLICE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14,20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14,20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15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ANTI-ENDOMISIO IGA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31,00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31,00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16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ANTI-ENDOMISIO IGG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31,00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31,00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17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ANTI-ENDOMISIO IGM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31,00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31,00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18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ANTI-GLIADINA IGA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21,00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21,00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19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ANTI-GLIADINA IGG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21,00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21,00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20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ANTI-GLIADINA IGM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21,00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21,00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21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Anti-HBe (Anticorpos contra o Antigeno e da Hepatite B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15,00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15,00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22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ANTI-TRANSGLUTAMINASE  - IGA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45,00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45,00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23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ANTI-TRANSGLUTAMINASE IGA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45,00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45,00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24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ANTI-TRANSGLUTAMINASE IGG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45,00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45,00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25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Anti HBc - Total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10,20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10,20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26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ANTI HBC IGG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65,00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65,00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27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Anti HBc IGM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10,20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10,20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28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Anti HDV (Anticorpos contra o virus da Hepatite D)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69,00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69,00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29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ANTI INSULINA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9,60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9,60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30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ANTI RECEPTOR DO TSH (TRAB)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32,90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32,90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31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ANTI TIREOPEROXIDASE ( ANTI TPO)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6,99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6,99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32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Antibiograma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12,50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12,50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33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ANTICOAGULANTE LÚPICO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22,20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22,20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34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ANTICORPO ANTI SSA/RO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19,90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19,90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35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ANTICORPO CONTRA ANTIGENO DE SUPERFICIE DO HBV (ANTI HBS)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21,00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21,00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36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Anticorpos Anti-HIV1 + HIV2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39,00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39,00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37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ANTICORPOS ANTI-HTL V I/II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17,00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17,00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38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ANTIGENO DE SUPERFÍCIE DO VIRUS DA HEPATITE B (HBSAG)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14,00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14,00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39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ANTIGENO FECAL DE HELICOBACTER PYLORI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99,00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99,00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40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AUTOANTICORPOS ANTI CÉLULAS (FAN HEL - 2)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6,00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6,00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41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Bacterioscopia (Por lamina) GRAN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25,00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25,00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42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BETA 2 MICROGLOBULINA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21,00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21,00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43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Beta HCG quantitativo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12,25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12,25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44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BICARBONATO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8,99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8,99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45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Bilirrubina Total e Fracoes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46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BRUCELOSE IGG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42,00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42,00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47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BRUCELOSE IGM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42,00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42,00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48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CA 19-9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14,10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14,10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49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CALCIO (URINA 24 HORAS )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50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CALCIO (URINA AMOSTRA)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51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Calcio Ionico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6,20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6,20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52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CALCITONINA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53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CALPROTECTINA EM AMOSTRA DE FEZES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115,00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115,00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54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CAPACIDADE TOTAL DE LIGAÇÃO DO FERRO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7,90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7,90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55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CARBAMAZEPINA EXAME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22,00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22,00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56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CARDIOLIPINA IGA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19,20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19,20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57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CARDIOLIPINA IGG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19,20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19,20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58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CARDIOLIPINA IGM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19,20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19,20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59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CARGA VIRAL HEPATITE B (HBV QUANTITATIVO)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299,00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299,00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60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CARGA VIRAL HEPATITE C (QUANTITATIVO)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279,00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279,00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61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CATECOLAMINAS URINÁRIAS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79,00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79,00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62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CAXUMBA IGG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32,60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32,60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63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CAXUMBA IGM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32,60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32,60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64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CEA-ANTIGENO CARCINOEMBRIOGÊNICO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24,20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24,20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65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CHLAMYDIA TRACHOMATIS IGG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15,00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15,00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66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CHLAMYDIA TRACHOMATIS IGM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15,00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15,00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67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Citomegalovirus IGG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6,90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6,90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68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CLORETO URINARIO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5,90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5,90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69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CLORETO URINÁRIO 24H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5,90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5,90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70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COBRE EXAME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15,00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15,00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71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Colesterol HDL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72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Colesterol Total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73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Colinesterase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19,95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19,95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74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COMPLEMENTO C3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9,90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9,90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75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COMPLEMENTO C4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9,90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9,90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76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COMPLEMENTO TOTAL - CH50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77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COPROCULTURA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11,20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11,20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78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COPROLÓGICO MULTIFUNCIONAL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55,00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55,00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79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CORTISOL BASAL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31,72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31,72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80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CORTISOL SALIVAR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39,00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39,00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81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Creatina fosfoquinase MB (CK-MB) - Atividade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11,50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11,50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82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CREATININA - URINA 24 HORAS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83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CREATININA EM AMOSTRA DE URINA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84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Curva Glicemica classica - 05 dosagens Oral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29,40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29,40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85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CURVA INSULINÊMICA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39,00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39,00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86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D DÍMEROS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89,60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89,60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87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DENGUE ANTICORPOS IGG E  IGM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78,00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78,00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88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DENGUE NS1 + ANTICORPOS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89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DEPURAÇÃO DE CREATININA ENDOGENA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15,00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15,00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90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DHL-DESIDROGENASE LACTICA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9,90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9,90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91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Eletroforese de Proteinas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8,95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8,95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92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ELETROFORESE DE PROTEÍNAS SERICAS OU URINÁRIAS COM IMUNOFIXAÇÃO .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379,80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379,80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93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EPSTEIN BAAR IGG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22,00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22,00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94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EPSTEIN BAAR IGM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22,00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22,00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95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Eritrograma (heritrocitos, hemoglobina, hematocrito)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96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ESTRONA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21,00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21,00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97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Exame CA 125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14,10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14,10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98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exame calcio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99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exame cloro pesquisa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5,90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5,90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100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exame colesterol (LDL)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101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exame creatinina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102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exame creatino fosfoquinase - CK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103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EXAME CURVA GLICEMICA PARA GESTANTES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16,80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16,80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104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exame de hormonios de triiodotironina - T3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8,20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8,20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105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exame de hormonios tireoestimulante - TSH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5,90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5,90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106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EXAME DE IMUNOLOGIA ANTIGENO E DA HEPATITE B - HB E AG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14,00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14,00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107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exame de imunologia de antigeno carcinoembriogenico - C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24,20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24,20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108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exame digoxina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31,00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31,00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109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Exame Fator Reumatoide (turbidimetria)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13,00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13,00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110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Exame ferritina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15,50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15,50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111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EXAME FÓSFORO URINA (AMOSTRA)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5,20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5,20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112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exame frutosamina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15,00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15,00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113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exame gama glutamil transferase-gama gt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5,20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5,20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114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exame glicose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115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Exame Hepatite A - anti HVA Igg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7,00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7,00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116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Exame Hepatite A - anti HVA Igm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7,00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7,00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117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Exame Hepatite C - Anti HCV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36,00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36,00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118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Exame HLA B27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69,00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69,00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119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Exame IgE imunoglibulina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14,00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14,00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120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EXAME LABORATORIAL PESQUISA DE ANTÍGENO NS1 DA DENGUE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121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Exame lípase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5,20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5,20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122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exame litio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7,20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7,20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123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Exame magnesio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124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Exame Microalbuminúria na urina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6,90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6,90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125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Exame parasitologico de fezes (EPF)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5,90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5,90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126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EXAME POTASSIO NA URINA 24 HORAS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127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EXAME PROTEINAS TOTAIS E FRACÕES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5,20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5,20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128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Exame PSA Livre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18,25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18,25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129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Exame Qualittivo de Urina EQU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5,90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5,90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130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Exame Rubéola IGM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7,90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7,90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131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exame sodio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132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Exame Tireoglobulina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133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Exame transaminase pirúvica (TGP)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134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exame ureia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135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EXAMES DE  IMUNOLOGIA FTA-ABS IGM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15,00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15,00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136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exames de hematologia coombs indireto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16,00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16,00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137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exames de hematologia hemoglobina, eletroforese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138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Exames de hematologia leucograma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7,90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7,90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139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Exames de hematologia reticulócitos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7,20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7,20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140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Exames de hormonios de testosterona livre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9,90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9,90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141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exames de hormonios dehidroepiandrosterona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21,00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21,00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142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exames de hormonios estradiol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9,15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9,15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143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exames de hormonios t3 livre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6,95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6,95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144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exames de hormonios t4 livre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8,90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8,90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145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Exames de hormônios testosterona  total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5,20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5,20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146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EXAMES DE IMUNOLOGIA CITOMEGALOVIRUS IGM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6,90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6,90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147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Exames de microbiologia fezes, pesquisa de rotavírus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18,00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18,00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148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Exames de urina creatinúria em amostra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149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exames de urina dismorfismo eritrocitario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9,90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9,90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150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Exames de urina proteinúria em amostra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9,90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9,90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151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FATOR DE VON WILLEBRAND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79,00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79,00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152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FATOR REUMATÓIDE QUANTITATIVO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9,90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9,90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153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FATOR V LEIDEN (TROMBOSE)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89,00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89,00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154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Ferro serico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155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Ferro tibec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6,90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6,90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156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FIBRINOGENIO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8,90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8,90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157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FITA  ABS IGG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15,00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15,00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158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Foliculo Estimulante, Hormonio (FSH)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8,90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8,90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159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Fosfatase Acida - Fracao Prostatica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9,90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9,90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160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fosfatase acida total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7,90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7,90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161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Fosfatase Alcalina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5,50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5,50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162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Fosforo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5,20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5,20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163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FUNGOS PESQUISA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164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GLICOSE POS PRANDIAL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165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GLICOSE TESTE DE TOLERANCIA 2 AMOSTRAS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14,80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14,80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166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HAV-IGG (Anticorpos IGG contra o Virus da Hepatite A)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7,00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7,00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167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HAV-IGM - Anticorpos IGM contra o virus da Hepatite A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7,00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7,00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168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Hemoglobina Glicada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12,50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12,50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169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Hemograma Completo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7,90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7,90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170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HEPATITE B- DETECÇÃO/PCR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299,90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299,90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171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HEPATITE B QUALITATIVO PCR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199,00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199,00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172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HERPES I E II- IGG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22,90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22,90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173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HERPES I E II-IGM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22,90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22,90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174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HOMOCISTEÍNA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175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HORMONIO ADRENOCORTICOTRÓFICO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21,00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21,00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176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HORMONIO ANTI-MULLERIANO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165,00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165,00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177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HORMÔNIO DO CRESCIMENTO HUMANO (HGH)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178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HTLV I/II - ANTICORPOS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17,00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17,00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179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IGE ESPECIFICO P1 PARASITAS ASCARIS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59,00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59,00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180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IGE TOTAL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14,00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14,00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181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IMUNOELETROFORESE DE PROTEINAS SERICAS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259,00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259,00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182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IMUNOGLOBULINA A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9,90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9,90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183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IMUNOGLOBULINA G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17,50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17,50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184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IMUNOGLOBULINA M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17,50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17,50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185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INSULINA POS PRANDIAL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21,00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21,00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186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Lipidios Totais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7,90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7,90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187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LIPIDOGRAMA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19,60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19,60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188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LIPOPROTEINA A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189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Luteinizante, Hormonio (LH)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8,20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8,20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190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MACROPROLACTINA (DOSAGEM NO SANGUE)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21,00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21,00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191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MARCADOR TUMORAL CA 15.3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14,10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14,10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192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MICOLOGICO CULTURAL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13,05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13,05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193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MICOLÓGICO DIRETO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8,20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8,20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194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MICROALBUMINURIA 24 HORAS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6,90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6,90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195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Mononucleose, sorologia (Monoteste)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25,00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25,00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196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PEPTIDEO C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21,00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21,00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197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PESQUISA DE ANTIGENO DO SARS-COV-2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35,00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35,00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198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PESQUISA DE BAAR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6,90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6,90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199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Pesquisa de Leucocitos Fecais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200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PESQUISA DE OXIUROS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5,20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5,20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201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Pesquisa de Sangue Oculto nas Fezes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9,95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9,95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202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PESQUISA INDICAN - TESTE DE DISBIOSE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203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Potassio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204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POTASSIO URINA AMOSTRA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205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Progesterona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8,95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8,95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206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PROLACTINA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8,95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8,95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207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Proteina C Reativa, Determinacao Quantitativa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12,20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12,20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208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PROTEINA CEREATIVA ULTRA SENSIVEL (PCRUS)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12,20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12,20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209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PROTEINA LIGADORA IGF-1 TIPO 3 (IGF BP3)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69,00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69,00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210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PROTEINA URINÁRIA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9,90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9,90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211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Proteinas Totais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5,20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5,20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212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PSA (Antigeno Prostatico Especifico)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18,90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18,90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213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PTH - PARATORMONIO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10,95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10,95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214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RELAÇÃO ALDOSTERONA /RENINA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169,00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169,00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215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RELAÇÃO PROTEINA /CREATININA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14,80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14,80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216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Rubeola Anticorpos IGG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7,90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7,90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217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Rubeola, HA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7,90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7,90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218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SATURAÇÃO DA TRANSFERRINA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219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SELENIO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16,00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16,00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220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SÍFILIS - VDRL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5,20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5,20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221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SODIO (URINA AMOSTRA)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222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SOMATOMEDINA C (IGF -1)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25,00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25,00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223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Streptococcus Beta - Hemolitico do Grupo A, Pesquisa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60,00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60,00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224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T3 REVERSO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59,00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59,00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225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T4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8,20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8,20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226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Tempo de protombina TP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7,60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7,60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227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Tempo de Tromboplastina  Parcial Ativada  (KTTP)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5,90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5,90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228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TESTE DE TOLERANCIA ORAL A LACTOSE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29,90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29,90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229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TESTE DO PEZINHO (PLUS)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105,00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105,00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230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TESTE DO PEZINHO MASTER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169,00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169,00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231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TESTE GENÉTICO DE INTOLERÂNCIA A LACTOSE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147,00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147,00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232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TESTE QUALITATIVO ANTI-SARS-COV-2 (IGM/IGG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59,00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59,00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233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Tipagem Sanguinea - Grupo ABO - Fator RH (Inclui D Frac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7,20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7,20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234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Tiroxina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220,00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220,00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235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Toxoplasmose - Avidez de IGG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39,00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39,00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236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Toxoplasmose, IFI - IGG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6,95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6,95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237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Toxoplasmose, IFI - IGM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6,95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6,95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238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Transaminase oxalacética (AST)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239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Transferrina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10,45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10,45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240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Triglicerideos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241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TROPONINA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30,00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30,00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242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UROCULTURA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12,20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12,20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243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VITAMINA A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21,00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21,00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244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VITAMINA B1 (TIAMINA)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115,00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115,00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245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VITAMINA B12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11,20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11,20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246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VITAMINA B6 (PIRIDOXINA)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135,00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135,00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247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VITAMINA C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17,00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17,00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248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VITAMINA D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11,20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11,20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249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VITAMINA D - 125 DIHIDROXI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59,00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59,00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250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VITAMINA D - 25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11,20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11,20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251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VSG- HEMOSSEDIMENTAÇÃO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6,20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6,20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252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ZINCO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8,95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8,95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253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ZINCO (URINA AMOSTRA)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8,95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8,95</w:t>
            </w:r>
          </w:p>
        </w:tc>
      </w:tr>
    </w:tbl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sz w:val="24"/>
          <w:color w:val="000000"/>
        </w:rPr>
      </w:pPr>
      <w:r>
        <w:rPr>
          <w:rFonts w:ascii="Times New Roman" w:hAnsi="Times New Roman" w:cs="Times New Roman" w:eastAsia="Times New Roman"/>
          <w:sz w:val="24"/>
          <w:color w:val="000000"/>
        </w:rPr>
        <w:t/>
      </w:r>
    </w:p>
    <w:p>
      <w:pPr>
        <w:jc w:val="both"/>
        <w:widowControl/>
        <w:ind w:left="1416" w:firstLine="708"/>
        <w:spacing w:lineRule="auto" w:line="360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>É o breve relatório.</w:t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 xml:space="preserve"> </w:t>
      </w: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>Vieram os autos para exame e parecer.</w:t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/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sz w:val="24"/>
          <w:color w:val="000000"/>
          <w:shd w:val="clear" w:color="auto" w:fill="FFFFFF"/>
        </w:rPr>
      </w:pPr>
      <w:r>
        <w:rPr>
          <w:rFonts w:ascii="Times New Roman" w:hAnsi="Times New Roman" w:cs="Times New Roman" w:eastAsia="Times New Roman"/>
          <w:sz w:val="24"/>
        </w:rPr>
        <w:t xml:space="preserve"> </w:t>
      </w:r>
      <w:r>
        <w:rPr>
          <w:rFonts w:ascii="Times New Roman" w:hAnsi="Times New Roman" w:cs="Times New Roman" w:eastAsia="Times New Roman"/>
          <w:b/>
          <w:sz w:val="24"/>
        </w:rPr>
        <w:t>2.</w:t>
      </w:r>
      <w:r>
        <w:rPr>
          <w:rFonts w:ascii="Times New Roman" w:hAnsi="Times New Roman" w:cs="Times New Roman" w:eastAsia="Times New Roman"/>
          <w:sz w:val="24"/>
        </w:rPr>
        <w:t xml:space="preserve"> </w:t>
      </w: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 xml:space="preserve">Com efeito, nos termos do art. 37, inciso XXI, da Constituição da República, </w:t>
      </w:r>
      <w:r>
        <w:rPr>
          <w:rFonts w:ascii="Times New Roman" w:hAnsi="Times New Roman" w:cs="Times New Roman" w:eastAsia="Times New Roman"/>
          <w:sz w:val="24"/>
          <w:color w:val="000000"/>
          <w:shd w:val="clear" w:color="auto" w:fill="FFFFFF"/>
        </w:rPr>
        <w:t> ressalvados os casos especificados na legislação, as obras, serviços, compras e alienações serão contratados mediante processo de licitação pública que assegure igualdade de condições a todos os concorrentes, com cláusulas que estabeleçam obrigações de pagamento, mantidas as condições efetivas da proposta, nos termos da lei, o qual somente permitirá as exigências de qualificação técnica e econômica indispensáveis à garantia do cumprimento das obrigações.</w:t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sz w:val="24"/>
          <w:color w:val="000000"/>
          <w:shd w:val="clear" w:color="auto" w:fill="FFFFFF"/>
        </w:rPr>
      </w:pPr>
      <w:r>
        <w:rPr>
          <w:rFonts w:ascii="Times New Roman" w:hAnsi="Times New Roman" w:cs="Times New Roman" w:eastAsia="Times New Roman"/>
          <w:sz w:val="24"/>
          <w:color w:val="000000"/>
          <w:shd w:val="clear" w:color="auto" w:fill="FFFFFF"/>
        </w:rPr>
        <w:t xml:space="preserve"> </w:t>
      </w:r>
      <w:r>
        <w:rPr>
          <w:rFonts w:ascii="Times New Roman" w:hAnsi="Times New Roman" w:cs="Times New Roman" w:eastAsia="Times New Roman"/>
          <w:sz w:val="24"/>
          <w:color w:val="000000"/>
          <w:shd w:val="clear" w:color="auto" w:fill="FFFFFF"/>
        </w:rPr>
        <w:tab/>
      </w:r>
      <w:r>
        <w:rPr>
          <w:rFonts w:ascii="Times New Roman" w:hAnsi="Times New Roman" w:cs="Times New Roman" w:eastAsia="Times New Roman"/>
          <w:sz w:val="24"/>
          <w:color w:val="000000"/>
          <w:shd w:val="clear" w:color="auto" w:fill="FFFFFF"/>
        </w:rPr>
        <w:tab/>
      </w:r>
      <w:r>
        <w:rPr>
          <w:rFonts w:ascii="Times New Roman" w:hAnsi="Times New Roman" w:cs="Times New Roman" w:eastAsia="Times New Roman"/>
          <w:sz w:val="24"/>
          <w:color w:val="000000"/>
          <w:shd w:val="clear" w:color="auto" w:fill="FFFFFF"/>
        </w:rPr>
        <w:tab/>
      </w:r>
      <w:r>
        <w:rPr>
          <w:rFonts w:ascii="Times New Roman" w:hAnsi="Times New Roman" w:cs="Times New Roman" w:eastAsia="Times New Roman"/>
          <w:sz w:val="24"/>
          <w:color w:val="000000"/>
          <w:shd w:val="clear" w:color="auto" w:fill="FFFFFF"/>
        </w:rPr>
        <w:t>Consta nos autos documento de formalização da demanda que discrimina o objeto da contratação almejada, atendendo o disposto no art. 72, inciso I, da Lei nº 14.133/2021.</w:t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sz w:val="24"/>
          <w:color w:val="000000"/>
          <w:shd w:val="clear" w:color="auto" w:fill="FFFFFF"/>
        </w:rPr>
      </w:pPr>
      <w:r>
        <w:rPr>
          <w:rFonts w:ascii="Times New Roman" w:hAnsi="Times New Roman" w:cs="Times New Roman" w:eastAsia="Times New Roman"/>
          <w:sz w:val="24"/>
          <w:color w:val="000000"/>
          <w:shd w:val="clear" w:color="auto" w:fill="FFFFFF"/>
        </w:rPr>
        <w:t xml:space="preserve"> </w:t>
      </w:r>
      <w:r>
        <w:rPr>
          <w:rFonts w:ascii="Times New Roman" w:hAnsi="Times New Roman" w:cs="Times New Roman" w:eastAsia="Times New Roman"/>
          <w:sz w:val="24"/>
          <w:color w:val="000000"/>
          <w:shd w:val="clear" w:color="auto" w:fill="FFFFFF"/>
        </w:rPr>
        <w:tab/>
      </w:r>
      <w:r>
        <w:rPr>
          <w:rFonts w:ascii="Times New Roman" w:hAnsi="Times New Roman" w:cs="Times New Roman" w:eastAsia="Times New Roman"/>
          <w:sz w:val="24"/>
          <w:color w:val="000000"/>
          <w:shd w:val="clear" w:color="auto" w:fill="FFFFFF"/>
        </w:rPr>
        <w:tab/>
      </w:r>
      <w:r>
        <w:rPr>
          <w:rFonts w:ascii="Times New Roman" w:hAnsi="Times New Roman" w:cs="Times New Roman" w:eastAsia="Times New Roman"/>
          <w:sz w:val="24"/>
          <w:color w:val="000000"/>
          <w:shd w:val="clear" w:color="auto" w:fill="FFFFFF"/>
        </w:rPr>
        <w:tab/>
      </w:r>
      <w:r>
        <w:rPr>
          <w:rFonts w:ascii="Times New Roman" w:hAnsi="Times New Roman" w:cs="Times New Roman" w:eastAsia="Times New Roman"/>
          <w:sz w:val="24"/>
          <w:color w:val="000000"/>
          <w:shd w:val="clear" w:color="auto" w:fill="FFFFFF"/>
        </w:rPr>
        <w:t>Houve estimativa de despesa, calculada na forma estabelecida no art. 23 da Lei nº 14.133/2021 (art. 72, inciso II), estando este, por conseguinte, justificado (art. 72, inciso VII).</w:t>
      </w:r>
    </w:p>
    <w:p>
      <w:pPr>
        <w:jc w:val="both"/>
        <w:widowControl/>
        <w:ind w:firstLine="573"/>
        <w:spacing w:lineRule="auto" w:line="360"/>
        <w:rPr>
          <w:rFonts w:ascii="Times New Roman" w:hAnsi="Times New Roman" w:cs="Times New Roman" w:eastAsia="Times New Roman"/>
          <w:sz w:val="24"/>
          <w:color w:val="000000"/>
        </w:rPr>
      </w:pPr>
      <w:r>
        <w:rPr>
          <w:rFonts w:ascii="Times New Roman" w:hAnsi="Times New Roman" w:cs="Times New Roman" w:eastAsia="Times New Roman"/>
          <w:sz w:val="24"/>
          <w:color w:val="000000"/>
          <w:shd w:val="clear" w:color="auto" w:fill="FFFFFF"/>
        </w:rPr>
        <w:t xml:space="preserve"> </w:t>
      </w:r>
      <w:r>
        <w:rPr>
          <w:rFonts w:ascii="Times New Roman" w:hAnsi="Times New Roman" w:cs="Times New Roman" w:eastAsia="Times New Roman"/>
          <w:sz w:val="24"/>
          <w:color w:val="000000"/>
          <w:shd w:val="clear" w:color="auto" w:fill="FFFFFF"/>
        </w:rPr>
        <w:tab/>
      </w:r>
      <w:r>
        <w:rPr>
          <w:rFonts w:ascii="Times New Roman" w:hAnsi="Times New Roman" w:cs="Times New Roman" w:eastAsia="Times New Roman"/>
          <w:sz w:val="24"/>
          <w:color w:val="000000"/>
          <w:shd w:val="clear" w:color="auto" w:fill="FFFFFF"/>
        </w:rPr>
        <w:tab/>
      </w:r>
      <w:r>
        <w:rPr>
          <w:rFonts w:ascii="Times New Roman" w:hAnsi="Times New Roman" w:cs="Times New Roman" w:eastAsia="Times New Roman"/>
          <w:sz w:val="24"/>
          <w:color w:val="000000"/>
          <w:shd w:val="clear" w:color="auto" w:fill="FFFFFF"/>
        </w:rPr>
        <w:tab/>
      </w:r>
      <w:r>
        <w:rPr>
          <w:rFonts w:ascii="Times New Roman" w:hAnsi="Times New Roman" w:cs="Times New Roman" w:eastAsia="Times New Roman"/>
          <w:sz w:val="24"/>
          <w:color w:val="000000"/>
          <w:shd w:val="clear" w:color="auto" w:fill="FFFFFF"/>
        </w:rPr>
        <w:t xml:space="preserve">Os documentos  demonstram a </w:t>
      </w:r>
      <w:r>
        <w:rPr>
          <w:rFonts w:ascii="Times New Roman" w:hAnsi="Times New Roman" w:cs="Times New Roman" w:eastAsia="Times New Roman"/>
          <w:sz w:val="24"/>
          <w:color w:val="000000"/>
        </w:rPr>
        <w:t>compatibilidade da previsão de recursos orçamentários com o compromisso a ser assumido (art. 72, inciso IV), bem como os documentos do futuro contratado, ora anexados, comprovam que o particular preenche os requisitos de habilitação e qualificação mínima necessária (art. 72, inciso V).</w:t>
      </w:r>
    </w:p>
    <w:p>
      <w:pPr>
        <w:jc w:val="both"/>
        <w:widowControl/>
        <w:ind w:firstLine="573"/>
        <w:spacing w:lineRule="auto" w:line="360"/>
        <w:rPr>
          <w:rFonts w:ascii="Times New Roman" w:hAnsi="Times New Roman" w:cs="Times New Roman" w:eastAsia="Times New Roman"/>
          <w:sz w:val="24"/>
          <w:color w:val="000000"/>
        </w:rPr>
      </w:pPr>
      <w:r>
        <w:rPr>
          <w:rFonts w:ascii="Times New Roman" w:hAnsi="Times New Roman" w:cs="Times New Roman" w:eastAsia="Times New Roman"/>
          <w:sz w:val="24"/>
          <w:color w:val="000000"/>
        </w:rPr>
        <w:t xml:space="preserve"> </w:t>
      </w:r>
      <w:r>
        <w:rPr>
          <w:rFonts w:ascii="Times New Roman" w:hAnsi="Times New Roman" w:cs="Times New Roman" w:eastAsia="Times New Roman"/>
          <w:sz w:val="24"/>
          <w:color w:val="000000"/>
        </w:rPr>
        <w:tab/>
      </w:r>
      <w:r>
        <w:rPr>
          <w:rFonts w:ascii="Times New Roman" w:hAnsi="Times New Roman" w:cs="Times New Roman" w:eastAsia="Times New Roman"/>
          <w:sz w:val="24"/>
          <w:color w:val="000000"/>
        </w:rPr>
        <w:tab/>
      </w:r>
      <w:r>
        <w:rPr>
          <w:rFonts w:ascii="Times New Roman" w:hAnsi="Times New Roman" w:cs="Times New Roman" w:eastAsia="Times New Roman"/>
          <w:sz w:val="24"/>
          <w:color w:val="000000"/>
        </w:rPr>
        <w:tab/>
      </w:r>
      <w:r>
        <w:rPr>
          <w:rFonts w:ascii="Times New Roman" w:hAnsi="Times New Roman" w:cs="Times New Roman" w:eastAsia="Times New Roman"/>
          <w:sz w:val="24"/>
          <w:color w:val="000000"/>
        </w:rPr>
        <w:t>A razão da escolha do futuro contrato está pautada em critério objetivo, qual seja (justificar), estando assim atendido o pressuposto do art. 72, inciso VI, da Lei nº 14.133/2021.</w:t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sz w:val="24"/>
          <w:color w:val="000000"/>
        </w:rPr>
      </w:pPr>
      <w:r>
        <w:rPr>
          <w:rFonts w:ascii="Times New Roman" w:hAnsi="Times New Roman" w:cs="Times New Roman" w:eastAsia="Times New Roman"/>
          <w:sz w:val="24"/>
          <w:color w:val="000000"/>
        </w:rPr>
        <w:t/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sz w:val="24"/>
          <w:color w:val="000000"/>
        </w:rPr>
      </w:pPr>
      <w:r>
        <w:rPr>
          <w:rFonts w:ascii="Times New Roman" w:hAnsi="Times New Roman" w:cs="Times New Roman" w:eastAsia="Times New Roman"/>
          <w:b/>
          <w:sz w:val="24"/>
          <w:color w:val="000000"/>
        </w:rPr>
        <w:t>3.</w:t>
      </w:r>
      <w:r>
        <w:rPr>
          <w:rFonts w:ascii="Times New Roman" w:hAnsi="Times New Roman" w:cs="Times New Roman" w:eastAsia="Times New Roman"/>
          <w:sz w:val="24"/>
          <w:color w:val="000000"/>
        </w:rPr>
        <w:t xml:space="preserve"> </w:t>
      </w:r>
      <w:r>
        <w:rPr>
          <w:rFonts w:ascii="Times New Roman" w:hAnsi="Times New Roman" w:cs="Times New Roman" w:eastAsia="Times New Roman"/>
          <w:sz w:val="24"/>
          <w:color w:val="000000"/>
        </w:rPr>
        <w:tab/>
      </w:r>
      <w:r>
        <w:rPr>
          <w:rFonts w:ascii="Times New Roman" w:hAnsi="Times New Roman" w:cs="Times New Roman" w:eastAsia="Times New Roman"/>
          <w:sz w:val="24"/>
          <w:color w:val="000000"/>
        </w:rPr>
        <w:tab/>
      </w:r>
      <w:r>
        <w:rPr>
          <w:rFonts w:ascii="Times New Roman" w:hAnsi="Times New Roman" w:cs="Times New Roman" w:eastAsia="Times New Roman"/>
          <w:sz w:val="24"/>
          <w:color w:val="000000"/>
        </w:rPr>
        <w:tab/>
      </w:r>
      <w:r>
        <w:rPr>
          <w:rFonts w:ascii="Times New Roman" w:hAnsi="Times New Roman" w:cs="Times New Roman" w:eastAsia="Times New Roman"/>
          <w:b/>
          <w:sz w:val="24"/>
          <w:color w:val="000000"/>
        </w:rPr>
        <w:t>Em face do exposto</w:t>
      </w:r>
      <w:r>
        <w:rPr>
          <w:rFonts w:ascii="Times New Roman" w:hAnsi="Times New Roman" w:cs="Times New Roman" w:eastAsia="Times New Roman"/>
          <w:sz w:val="24"/>
          <w:color w:val="000000"/>
        </w:rPr>
        <w:t xml:space="preserve">, sob o aspecto jurídico, opina-se pela legalidade da contratação direta, nos termos do </w:t>
      </w:r>
      <w:r>
        <w:rPr>
          <w:rFonts w:ascii="Times New Roman" w:hAnsi="Times New Roman" w:cs="Times New Roman" w:eastAsia="Times New Roman"/>
          <w:i/>
          <w:sz w:val="24"/>
          <w:color w:val="000000"/>
        </w:rPr>
        <w:t>A79I(Art. 79, inc. I, da Lei nº 14.133/2021)</w:t>
      </w:r>
      <w:r>
        <w:rPr>
          <w:rFonts w:ascii="Times New Roman" w:hAnsi="Times New Roman" w:cs="Times New Roman" w:eastAsia="Times New Roman"/>
          <w:sz w:val="24"/>
          <w:color w:val="000000"/>
        </w:rPr>
        <w:t>.</w:t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sz w:val="24"/>
          <w:color w:val="000000"/>
        </w:rPr>
      </w:pPr>
      <w:r>
        <w:rPr>
          <w:rFonts w:ascii="Times New Roman" w:hAnsi="Times New Roman" w:cs="Times New Roman" w:eastAsia="Times New Roman"/>
          <w:sz w:val="24"/>
          <w:color w:val="000000"/>
        </w:rPr>
        <w:t xml:space="preserve"> </w:t>
      </w:r>
      <w:r>
        <w:rPr>
          <w:rFonts w:ascii="Times New Roman" w:hAnsi="Times New Roman" w:cs="Times New Roman" w:eastAsia="Times New Roman"/>
          <w:sz w:val="24"/>
          <w:color w:val="000000"/>
        </w:rPr>
        <w:tab/>
      </w:r>
      <w:r>
        <w:rPr>
          <w:rFonts w:ascii="Times New Roman" w:hAnsi="Times New Roman" w:cs="Times New Roman" w:eastAsia="Times New Roman"/>
          <w:sz w:val="24"/>
          <w:color w:val="000000"/>
        </w:rPr>
        <w:tab/>
      </w:r>
      <w:r>
        <w:rPr>
          <w:rFonts w:ascii="Times New Roman" w:hAnsi="Times New Roman" w:cs="Times New Roman" w:eastAsia="Times New Roman"/>
          <w:sz w:val="24"/>
          <w:color w:val="000000"/>
        </w:rPr>
        <w:t xml:space="preserve">         Opina-se, outrossim, pela remessa dos autos à autoridade competente para promover a autorização da contratação, nos termos do art. 72, inciso VIII, da Lei nº 14.133/2021.</w:t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sz w:val="24"/>
          <w:color w:val="000000"/>
        </w:rPr>
      </w:pPr>
      <w:r>
        <w:rPr>
          <w:rFonts w:ascii="Times New Roman" w:hAnsi="Times New Roman" w:cs="Times New Roman" w:eastAsia="Times New Roman"/>
          <w:sz w:val="24"/>
          <w:color w:val="000000"/>
        </w:rPr>
        <w:t/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sz w:val="24"/>
          <w:color w:val="000000"/>
        </w:rPr>
      </w:pPr>
      <w:r>
        <w:rPr>
          <w:rFonts w:ascii="Times New Roman" w:hAnsi="Times New Roman" w:cs="Times New Roman" w:eastAsia="Times New Roman"/>
          <w:sz w:val="24"/>
          <w:color w:val="000000"/>
        </w:rPr>
        <w:t xml:space="preserve"> </w:t>
      </w:r>
      <w:r>
        <w:rPr>
          <w:rFonts w:ascii="Times New Roman" w:hAnsi="Times New Roman" w:cs="Times New Roman" w:eastAsia="Times New Roman"/>
          <w:sz w:val="24"/>
          <w:color w:val="000000"/>
        </w:rPr>
        <w:tab/>
      </w:r>
      <w:r>
        <w:rPr>
          <w:rFonts w:ascii="Times New Roman" w:hAnsi="Times New Roman" w:cs="Times New Roman" w:eastAsia="Times New Roman"/>
          <w:sz w:val="24"/>
          <w:color w:val="000000"/>
        </w:rPr>
        <w:tab/>
      </w:r>
      <w:r>
        <w:rPr>
          <w:rFonts w:ascii="Times New Roman" w:hAnsi="Times New Roman" w:cs="Times New Roman" w:eastAsia="Times New Roman"/>
          <w:sz w:val="24"/>
          <w:color w:val="000000"/>
        </w:rPr>
        <w:t xml:space="preserve">Quatro Irmãos - RS, </w:t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sz w:val="24"/>
          <w:color w:val="000000"/>
        </w:rPr>
      </w:pPr>
      <w:r>
        <w:rPr>
          <w:rFonts w:ascii="Times New Roman" w:hAnsi="Times New Roman" w:cs="Times New Roman" w:eastAsia="Times New Roman"/>
          <w:sz w:val="24"/>
          <w:color w:val="000000"/>
        </w:rPr>
        <w:t/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sz w:val="24"/>
          <w:color w:val="000000"/>
        </w:rPr>
      </w:pPr>
      <w:r>
        <w:rPr>
          <w:rFonts w:ascii="Times New Roman" w:hAnsi="Times New Roman" w:cs="Times New Roman" w:eastAsia="Times New Roman"/>
          <w:sz w:val="24"/>
          <w:color w:val="000000"/>
        </w:rPr>
        <w:t/>
      </w:r>
    </w:p>
    <w:p>
      <w:pPr>
        <w:jc w:val="center"/>
        <w:widowControl/>
        <w:rPr>
          <w:rFonts w:ascii="Times New Roman" w:hAnsi="Times New Roman" w:cs="Times New Roman" w:eastAsia="Times New Roman"/>
          <w:b/>
          <w:sz w:val="24"/>
          <w:color w:val="000000"/>
        </w:rPr>
      </w:pPr>
      <w:r>
        <w:rPr>
          <w:rFonts w:ascii="Times New Roman" w:hAnsi="Times New Roman" w:cs="Times New Roman" w:eastAsia="Times New Roman"/>
          <w:b/>
          <w:sz w:val="24"/>
          <w:color w:val="000000"/>
        </w:rPr>
        <w:t>Ricardo Sandri Gazzoni</w:t>
      </w:r>
    </w:p>
    <w:p>
      <w:pPr>
        <w:jc w:val="center"/>
        <w:widowControl/>
        <w:rPr>
          <w:rFonts w:ascii="Times New Roman" w:hAnsi="Times New Roman" w:cs="Times New Roman" w:eastAsia="Times New Roman"/>
          <w:b/>
          <w:sz w:val="24"/>
          <w:color w:val="000000"/>
        </w:rPr>
      </w:pPr>
      <w:r>
        <w:rPr>
          <w:rFonts w:ascii="Times New Roman" w:hAnsi="Times New Roman" w:cs="Times New Roman" w:eastAsia="Times New Roman"/>
          <w:b/>
          <w:sz w:val="24"/>
          <w:color w:val="000000"/>
        </w:rPr>
        <w:t>Assessor Jurídico</w:t>
      </w:r>
    </w:p>
    <w:p>
      <w:pPr>
        <w:jc w:val="center"/>
        <w:widowControl/>
        <w:rPr>
          <w:rFonts w:ascii="Times New Roman" w:hAnsi="Times New Roman" w:cs="Times New Roman" w:eastAsia="Times New Roman"/>
          <w:b/>
          <w:sz w:val="24"/>
          <w:color w:val="000000"/>
        </w:rPr>
      </w:pPr>
      <w:r>
        <w:rPr>
          <w:rFonts w:ascii="Times New Roman" w:hAnsi="Times New Roman" w:cs="Times New Roman" w:eastAsia="Times New Roman"/>
          <w:b/>
          <w:sz w:val="24"/>
          <w:color w:val="000000"/>
        </w:rPr>
        <w:t>OAB/RS 95.670</w:t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sz w:val="24"/>
          <w:color w:val="000000"/>
        </w:rPr>
      </w:pPr>
      <w:r>
        <w:rPr>
          <w:rFonts w:ascii="Times New Roman" w:hAnsi="Times New Roman" w:cs="Times New Roman" w:eastAsia="Times New Roman"/>
          <w:sz w:val="24"/>
          <w:color w:val="000000"/>
        </w:rPr>
        <w:t/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/>
      </w:r>
    </w:p>
    <w:sectPr>
      <w:headerReference w:type="default" r:id="rIdHF0"/>
      <w:pgSz w:w="11906" w:h="16838"/>
      <w:pgMar w:top="1417" w:right="850" w:bottom="1417" w:left="1984" w:header="567" w:footer="567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charset w:val="01"/>
  </w:font>
  <w:font w:name="Tahoma">
    <w:charset w:val="01"/>
  </w:font>
  <w:font w:name="Times New Roman">
    <w:charset w:val="00"/>
  </w:font>
  <w:font w:name="Courier New">
    <w:charset w:val="00"/>
  </w:font>
</w:fonts>
</file>

<file path=word/header.xml><?xml version="1.0" encoding="utf-8"?>
<w:hdr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14="http://schemas.microsoft.com/office/word/2010/wordprocessingDrawing" xmlns:w14="http://schemas.microsoft.com/office/word/2010/wordml" xmlns:wne="http://schemas.microsoft.com/office/word/2006/wordml" xmlns:wps="http://schemas.microsoft.com/office/word/2010/wordprocessingShape" xmlns:mc="http://schemas.openxmlformats.org/markup-compatibility/2006" mc:Ignorable="wp14">
  <w:p>
    <w:pPr>
      <w:pBdr>
        <w:top w:val="" w:sz="6"/>
        <w:left w:val="" w:sz="6"/>
        <w:bottom w:val="" w:sz="6"/>
        <w:right w:val="" w:sz="6"/>
        <w:between w:val="" w:sz="6"/>
      </w:pBdr>
    </w:pPr>
    <w:r>
      <w:drawing>
        <wp:inline distT="0" distB="0" distL="0" distR="0">
          <wp:extent cx="5419725" cy="895350"/>
          <wp:effectExtent l="0" t="0" r="0" b="0"/>
          <wp:docPr id="1" name="P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g1.jpg"/>
                  <pic:cNvPicPr/>
                </pic:nvPicPr>
                <pic:blipFill>
                  <a:blip r:embed="prId1" cstate="print"/>
                  <a:stretch>
                    <a:fillRect/>
                  </a:stretch>
                </pic:blipFill>
                <pic:spPr>
                  <a:xfrm>
                    <a:off x="0" y="0"/>
                    <a:ext cx="5419725" cy="895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>
  <w:zoom w:percent="100"/>
  <w:displayBackgroundShape/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pPrDefault>
      <w:pPr>
        <w:spacing w:after="0" w:before="0" w:line="240" w:lineRule="auto"/>
        <w:widowControl w:val="0"/>
      </w:pPr>
    </w:pPrDefault>
    <w:rPrDefault>
      <w:rPr>
        <w:rFonts w:ascii="Arial" w:hAnsi="Arial" w:cs="Arial" w:eastAsia="Arial"/>
        <w:sz w:val="20"/>
      </w:rPr>
    </w:rPrDefault>
  </w:docDefaults>
  <w:style w:type="paragraph" w:default="1" w:styleId="0">
    <w:name w:val="Normal"/>
    <w:qFormat/>
  </w:style>
</w:styles>
</file>

<file path=word/_rels/document.xml.rels><?xml version="1.0" encoding="UTF-8" standalone="yes"?>
<Relationships xmlns="http://schemas.openxmlformats.org/package/2006/relationships"><Relationship Id="rIdFT" Type="http://schemas.openxmlformats.org/officeDocument/2006/relationships/fontTable" Target="fontTable.xml"/><Relationship Id="rIdSt" Type="http://schemas.openxmlformats.org/officeDocument/2006/relationships/styles" Target="styles.xml"/><Relationship Id="rIdHF0" Type="http://schemas.openxmlformats.org/officeDocument/2006/relationships/header" Target="header.xml"/><Relationship Id="rIdHF1" Type="http://schemas.openxmlformats.org/officeDocument/2006/relationships/footer" Target="footer.xml"/><Relationship Id="rIdHF2" Type="http://schemas.openxmlformats.org/officeDocument/2006/relationships/header" Target="headerFirstPage.xml"/><Relationship Id="rIdHF3" Type="http://schemas.openxmlformats.org/officeDocument/2006/relationships/footer" Target="footerFirstPage.xml"/><Relationship Id="rIdHF4" Type="http://schemas.openxmlformats.org/officeDocument/2006/relationships/header" Target="headerEvenPages.xml"/><Relationship Id="rIdHF5" Type="http://schemas.openxmlformats.org/officeDocument/2006/relationships/footer" Target="footerEvenPages.xml"/><Relationship Id="rIdSet" Type="http://schemas.openxmlformats.org/officeDocument/2006/relationships/settings" Target="settings.xml"/></Relationships>
</file>

<file path=word/_rels/header.xml.rels><?xml version="1.0" encoding="UTF-8" standalone="yes"?>
<Relationships xmlns="http://schemas.openxmlformats.org/package/2006/relationships"><Relationship Id="prId1" Type="http://schemas.openxmlformats.org/officeDocument/2006/relationships/image" Target="media/img1.jpg"/></Relationships>
</file>